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1E" w:rsidRPr="009B6AB6" w:rsidRDefault="00C25111" w:rsidP="00176378">
      <w:pPr>
        <w:widowControl w:val="0"/>
        <w:suppressAutoHyphens w:val="0"/>
        <w:spacing w:line="360" w:lineRule="auto"/>
        <w:jc w:val="center"/>
        <w:rPr>
          <w:b/>
          <w:sz w:val="28"/>
        </w:rPr>
      </w:pPr>
      <w:r>
        <w:rPr>
          <w:b/>
          <w:sz w:val="28"/>
          <w:lang w:val="en-GB"/>
        </w:rPr>
        <w:t>The Relationship b</w:t>
      </w:r>
      <w:r w:rsidRPr="00CC1DC5">
        <w:rPr>
          <w:b/>
          <w:sz w:val="28"/>
          <w:lang w:val="en-GB"/>
        </w:rPr>
        <w:t>etween Technology Literacies and Proactive Personalities of Secondary School Mathematics Teachers</w:t>
      </w:r>
    </w:p>
    <w:p w:rsidR="00555CA1" w:rsidRDefault="00555CA1" w:rsidP="00176378">
      <w:pPr>
        <w:widowControl w:val="0"/>
        <w:suppressAutoHyphens w:val="0"/>
        <w:spacing w:line="360" w:lineRule="auto"/>
        <w:jc w:val="center"/>
        <w:rPr>
          <w:b/>
          <w:szCs w:val="20"/>
        </w:rPr>
      </w:pPr>
    </w:p>
    <w:p w:rsidR="0061751E" w:rsidRPr="004052F4" w:rsidRDefault="00D11217" w:rsidP="00176378">
      <w:pPr>
        <w:widowControl w:val="0"/>
        <w:suppressAutoHyphens w:val="0"/>
        <w:spacing w:line="360" w:lineRule="auto"/>
        <w:jc w:val="center"/>
        <w:rPr>
          <w:b/>
          <w:szCs w:val="20"/>
          <w:vertAlign w:val="superscript"/>
        </w:rPr>
      </w:pPr>
      <w:r>
        <w:rPr>
          <w:b/>
          <w:szCs w:val="20"/>
        </w:rPr>
        <w:t>Yeliz Ozkan Hidiroglu</w:t>
      </w:r>
      <w:r w:rsidR="0061751E" w:rsidRPr="004052F4">
        <w:rPr>
          <w:b/>
          <w:szCs w:val="20"/>
        </w:rPr>
        <w:t xml:space="preserve">, </w:t>
      </w:r>
      <w:r>
        <w:rPr>
          <w:b/>
          <w:szCs w:val="20"/>
        </w:rPr>
        <w:t>Caglar Naci Hidiroglu, Abdurrahman Tanriogen</w:t>
      </w:r>
    </w:p>
    <w:p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D536F0">
        <w:trPr>
          <w:trHeight w:val="203"/>
          <w:jc w:val="center"/>
        </w:trPr>
        <w:tc>
          <w:tcPr>
            <w:tcW w:w="209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rsidTr="00D536F0">
        <w:trPr>
          <w:trHeight w:val="2300"/>
          <w:jc w:val="center"/>
        </w:trPr>
        <w:tc>
          <w:tcPr>
            <w:tcW w:w="2093" w:type="dxa"/>
            <w:tcBorders>
              <w:top w:val="single" w:sz="4" w:space="0" w:color="auto"/>
            </w:tcBorders>
            <w:shd w:val="clear" w:color="auto" w:fill="auto"/>
          </w:tcPr>
          <w:p w:rsidR="0061751E" w:rsidRPr="00680F89" w:rsidRDefault="0061751E" w:rsidP="00176378">
            <w:pPr>
              <w:widowControl w:val="0"/>
              <w:suppressAutoHyphens w:val="0"/>
              <w:spacing w:line="360" w:lineRule="auto"/>
              <w:rPr>
                <w:b/>
                <w:i/>
                <w:szCs w:val="20"/>
              </w:rPr>
            </w:pPr>
            <w:r w:rsidRPr="00680F89">
              <w:rPr>
                <w:b/>
                <w:i/>
                <w:szCs w:val="20"/>
              </w:rPr>
              <w:t>Article History</w:t>
            </w:r>
          </w:p>
          <w:p w:rsidR="0061751E" w:rsidRPr="00BE1FB0" w:rsidRDefault="0061751E" w:rsidP="00176378">
            <w:pPr>
              <w:widowControl w:val="0"/>
              <w:suppressAutoHyphens w:val="0"/>
              <w:spacing w:line="360" w:lineRule="auto"/>
              <w:rPr>
                <w:sz w:val="16"/>
                <w:szCs w:val="16"/>
              </w:rPr>
            </w:pPr>
            <w:r w:rsidRPr="00BE1FB0">
              <w:rPr>
                <w:sz w:val="16"/>
                <w:szCs w:val="16"/>
              </w:rPr>
              <w:t>Received: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r w:rsidRPr="00BE1FB0">
              <w:rPr>
                <w:sz w:val="16"/>
                <w:szCs w:val="16"/>
              </w:rPr>
              <w:t>Accepted: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p>
        </w:tc>
        <w:tc>
          <w:tcPr>
            <w:tcW w:w="425" w:type="dxa"/>
          </w:tcPr>
          <w:p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61751E" w:rsidRPr="003D5CC6" w:rsidRDefault="00903C4C" w:rsidP="004535A7">
            <w:pPr>
              <w:widowControl w:val="0"/>
              <w:suppressAutoHyphens w:val="0"/>
              <w:spacing w:line="360" w:lineRule="auto"/>
              <w:ind w:left="-15"/>
              <w:rPr>
                <w:szCs w:val="20"/>
              </w:rPr>
            </w:pPr>
            <w:r w:rsidRPr="00CC1DC5">
              <w:rPr>
                <w:rFonts w:cs="Times New Roman"/>
                <w:lang w:val="en-GB"/>
              </w:rPr>
              <w:t xml:space="preserve">The aim of this study is to determine the level of technology literacy and proactive personality of secondary school mathematics teachers, the relationship between technology literacy and proactive personalities, and how much of the proactive personality is explained by the technology literacy, according to the perceptions of secondary school mathematics teachers. The </w:t>
            </w:r>
            <w:r>
              <w:rPr>
                <w:rFonts w:cs="Times New Roman"/>
                <w:lang w:val="en-GB"/>
              </w:rPr>
              <w:t>study</w:t>
            </w:r>
            <w:r w:rsidRPr="00CC1DC5">
              <w:rPr>
                <w:rFonts w:cs="Times New Roman"/>
                <w:lang w:val="en-GB"/>
              </w:rPr>
              <w:t xml:space="preserve"> is </w:t>
            </w:r>
            <w:r>
              <w:rPr>
                <w:rFonts w:cs="Times New Roman"/>
                <w:lang w:val="en-GB"/>
              </w:rPr>
              <w:t xml:space="preserve">designed around </w:t>
            </w:r>
            <w:r w:rsidRPr="00CC1DC5">
              <w:rPr>
                <w:rFonts w:cs="Times New Roman"/>
                <w:lang w:val="en-GB"/>
              </w:rPr>
              <w:t>a relational survey</w:t>
            </w:r>
            <w:r>
              <w:rPr>
                <w:rFonts w:cs="Times New Roman"/>
                <w:lang w:val="en-GB"/>
              </w:rPr>
              <w:t xml:space="preserve"> model, which is a quantitative research technique</w:t>
            </w:r>
            <w:r w:rsidRPr="00CC1DC5">
              <w:rPr>
                <w:rFonts w:cs="Times New Roman"/>
                <w:lang w:val="en-GB"/>
              </w:rPr>
              <w:t>. The population of the study consisted of mathematics teachers working in secondary schools in Turkey and the sample was 380 secondary school mathematics teachers selected by simple random sampling method.  Technology Literacy Scale and Proactive Personality Scale were used as data collection instruments. Descriptive statistics, correlation and regression analysis were used to analyse</w:t>
            </w:r>
            <w:r>
              <w:rPr>
                <w:rFonts w:cs="Times New Roman"/>
                <w:lang w:val="en-GB"/>
              </w:rPr>
              <w:t xml:space="preserve"> the data. The secondary school </w:t>
            </w:r>
            <w:r w:rsidRPr="00CC1DC5">
              <w:rPr>
                <w:rFonts w:cs="Times New Roman"/>
                <w:lang w:val="en-GB"/>
              </w:rPr>
              <w:t xml:space="preserve">mathematics teachers' perceptions about technology literacy and proactive personality were found to be high. </w:t>
            </w:r>
            <w:r>
              <w:rPr>
                <w:rFonts w:cs="Times New Roman"/>
                <w:lang w:val="en-GB"/>
              </w:rPr>
              <w:t>In addition, there wa</w:t>
            </w:r>
            <w:r w:rsidRPr="00CC1DC5">
              <w:rPr>
                <w:rFonts w:cs="Times New Roman"/>
                <w:lang w:val="en-GB"/>
              </w:rPr>
              <w:t xml:space="preserve">s a </w:t>
            </w:r>
            <w:r>
              <w:rPr>
                <w:rFonts w:cs="Times New Roman"/>
                <w:lang w:val="en-GB"/>
              </w:rPr>
              <w:t>moderate</w:t>
            </w:r>
            <w:r w:rsidRPr="00CC1DC5">
              <w:rPr>
                <w:rFonts w:cs="Times New Roman"/>
                <w:lang w:val="en-GB"/>
              </w:rPr>
              <w:t xml:space="preserve"> level positive and significant correlation between technology literacy and proactive personality of </w:t>
            </w:r>
            <w:r>
              <w:rPr>
                <w:rFonts w:cs="Times New Roman"/>
                <w:lang w:val="en-GB"/>
              </w:rPr>
              <w:t xml:space="preserve">the </w:t>
            </w:r>
            <w:r w:rsidRPr="00CC1DC5">
              <w:rPr>
                <w:rFonts w:cs="Times New Roman"/>
                <w:lang w:val="en-GB"/>
              </w:rPr>
              <w:t xml:space="preserve">secondary school mathematics teachers. </w:t>
            </w:r>
            <w:r>
              <w:rPr>
                <w:rFonts w:cs="Times New Roman"/>
                <w:lang w:val="en-GB"/>
              </w:rPr>
              <w:t>Finally, t</w:t>
            </w:r>
            <w:r w:rsidRPr="00CC1DC5">
              <w:rPr>
                <w:rFonts w:cs="Times New Roman"/>
                <w:lang w:val="en-GB"/>
              </w:rPr>
              <w:t>he proactive personality of secondary scho</w:t>
            </w:r>
            <w:r>
              <w:rPr>
                <w:rFonts w:cs="Times New Roman"/>
                <w:lang w:val="en-GB"/>
              </w:rPr>
              <w:t>ol mathematics teachers explained</w:t>
            </w:r>
            <w:r w:rsidRPr="00CC1DC5">
              <w:rPr>
                <w:rFonts w:cs="Times New Roman"/>
                <w:lang w:val="en-GB"/>
              </w:rPr>
              <w:t xml:space="preserve"> their technology literacy at 30.7% level</w:t>
            </w:r>
            <w:r w:rsidR="007755B7" w:rsidRPr="009E14FD">
              <w:rPr>
                <w:szCs w:val="20"/>
              </w:rPr>
              <w:t xml:space="preserve">. </w:t>
            </w:r>
          </w:p>
        </w:tc>
      </w:tr>
      <w:tr w:rsidR="0061751E" w:rsidRPr="00DC206E" w:rsidTr="00D536F0">
        <w:trPr>
          <w:jc w:val="center"/>
        </w:trPr>
        <w:tc>
          <w:tcPr>
            <w:tcW w:w="2093" w:type="dxa"/>
            <w:tcBorders>
              <w:top w:val="single" w:sz="4" w:space="0" w:color="auto"/>
              <w:bottom w:val="single" w:sz="4" w:space="0" w:color="auto"/>
            </w:tcBorders>
            <w:shd w:val="clear" w:color="auto" w:fill="auto"/>
          </w:tcPr>
          <w:p w:rsidR="0061751E" w:rsidRPr="00BE1FB0" w:rsidRDefault="0061751E" w:rsidP="00176378">
            <w:pPr>
              <w:widowControl w:val="0"/>
              <w:suppressAutoHyphens w:val="0"/>
              <w:spacing w:line="360" w:lineRule="auto"/>
              <w:rPr>
                <w:b/>
                <w:i/>
                <w:szCs w:val="20"/>
              </w:rPr>
            </w:pPr>
            <w:r w:rsidRPr="00BE1FB0">
              <w:rPr>
                <w:b/>
                <w:i/>
                <w:szCs w:val="20"/>
              </w:rPr>
              <w:t>Keywords</w:t>
            </w:r>
          </w:p>
          <w:p w:rsidR="0061751E" w:rsidRPr="00D27CED" w:rsidRDefault="00903C4C" w:rsidP="00176378">
            <w:pPr>
              <w:widowControl w:val="0"/>
              <w:suppressAutoHyphens w:val="0"/>
              <w:spacing w:line="360" w:lineRule="auto"/>
              <w:jc w:val="left"/>
              <w:rPr>
                <w:sz w:val="16"/>
                <w:szCs w:val="16"/>
              </w:rPr>
            </w:pPr>
            <w:r>
              <w:rPr>
                <w:sz w:val="16"/>
                <w:szCs w:val="16"/>
              </w:rPr>
              <w:t>Technology literacy</w:t>
            </w:r>
          </w:p>
          <w:p w:rsidR="0061751E" w:rsidRPr="00D27CED" w:rsidRDefault="00903C4C" w:rsidP="00176378">
            <w:pPr>
              <w:widowControl w:val="0"/>
              <w:suppressAutoHyphens w:val="0"/>
              <w:spacing w:line="360" w:lineRule="auto"/>
              <w:jc w:val="left"/>
              <w:rPr>
                <w:sz w:val="16"/>
                <w:szCs w:val="16"/>
              </w:rPr>
            </w:pPr>
            <w:r>
              <w:rPr>
                <w:sz w:val="16"/>
                <w:szCs w:val="16"/>
              </w:rPr>
              <w:t>Proactive personality</w:t>
            </w:r>
          </w:p>
          <w:p w:rsidR="0061751E" w:rsidRPr="009E14FD" w:rsidRDefault="00903C4C" w:rsidP="00903C4C">
            <w:pPr>
              <w:widowControl w:val="0"/>
              <w:suppressAutoHyphens w:val="0"/>
              <w:spacing w:line="360" w:lineRule="auto"/>
              <w:jc w:val="left"/>
              <w:rPr>
                <w:sz w:val="18"/>
                <w:szCs w:val="18"/>
              </w:rPr>
            </w:pPr>
            <w:r>
              <w:rPr>
                <w:sz w:val="16"/>
                <w:szCs w:val="16"/>
              </w:rPr>
              <w:t>Secondary school mathematics teachers</w:t>
            </w:r>
          </w:p>
        </w:tc>
        <w:tc>
          <w:tcPr>
            <w:tcW w:w="425" w:type="dxa"/>
          </w:tcPr>
          <w:p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176378">
            <w:pPr>
              <w:widowControl w:val="0"/>
              <w:suppressAutoHyphens w:val="0"/>
              <w:spacing w:line="360" w:lineRule="auto"/>
              <w:rPr>
                <w:b/>
                <w:sz w:val="24"/>
                <w:szCs w:val="20"/>
              </w:rPr>
            </w:pPr>
          </w:p>
        </w:tc>
      </w:tr>
    </w:tbl>
    <w:p w:rsidR="0061751E" w:rsidRPr="006E5717" w:rsidRDefault="0061751E" w:rsidP="00176378">
      <w:pPr>
        <w:widowControl w:val="0"/>
        <w:suppressAutoHyphens w:val="0"/>
        <w:spacing w:line="360" w:lineRule="auto"/>
        <w:rPr>
          <w:szCs w:val="20"/>
        </w:rPr>
      </w:pPr>
    </w:p>
    <w:p w:rsidR="0061751E" w:rsidRPr="009B6AB6"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rsidR="00176378" w:rsidRDefault="00176378" w:rsidP="00176378">
      <w:pPr>
        <w:widowControl w:val="0"/>
        <w:suppressAutoHyphens w:val="0"/>
        <w:spacing w:line="360" w:lineRule="auto"/>
        <w:rPr>
          <w:color w:val="000000"/>
        </w:rPr>
      </w:pPr>
    </w:p>
    <w:p w:rsidR="00F70642" w:rsidRDefault="00F70642" w:rsidP="00176378">
      <w:pPr>
        <w:widowControl w:val="0"/>
        <w:suppressAutoHyphens w:val="0"/>
        <w:spacing w:line="360" w:lineRule="auto"/>
        <w:rPr>
          <w:color w:val="000000"/>
        </w:rPr>
      </w:pPr>
      <w:r w:rsidRPr="00F70642">
        <w:rPr>
          <w:color w:val="000000"/>
        </w:rPr>
        <w:t>International examinations such as PISA and TIMSS allow countries to compare their achievements in education and to identify the factors affecting their success. PISA evaluates countries in mathematics, reading and science, and TIMSS measures countries' achievement in mathematics and science. Success or failure in mathematics in international examinations is effective in shaping the educational policies of countries because countries with successful persons in mathematics are one step ahead of other countries on the way to becoming a leading power in science, technology and economy. In this sense, in order to have successful mathematicians, countries are looking for ways to have qualified mathematics teachers</w:t>
      </w:r>
      <w:r>
        <w:rPr>
          <w:color w:val="000000"/>
        </w:rPr>
        <w:t>.</w:t>
      </w:r>
    </w:p>
    <w:p w:rsidR="00F70642" w:rsidRDefault="00F70642" w:rsidP="00176378">
      <w:pPr>
        <w:widowControl w:val="0"/>
        <w:suppressAutoHyphens w:val="0"/>
        <w:spacing w:line="360" w:lineRule="auto"/>
        <w:rPr>
          <w:color w:val="000000"/>
        </w:rPr>
      </w:pPr>
    </w:p>
    <w:p w:rsidR="00856E66" w:rsidRDefault="00F70642" w:rsidP="00176378">
      <w:pPr>
        <w:widowControl w:val="0"/>
        <w:suppressAutoHyphens w:val="0"/>
        <w:spacing w:line="360" w:lineRule="auto"/>
        <w:rPr>
          <w:color w:val="000000"/>
        </w:rPr>
      </w:pPr>
      <w:r w:rsidRPr="00F70642">
        <w:rPr>
          <w:color w:val="000000"/>
        </w:rPr>
        <w:t xml:space="preserve">Mathematics teachers are of great importance in terms of raising individuals who are needed socially, culturally, economically, scientifically and technologically, and performing their duties effectively and efficiently with their knowledge and skills in teaching the field (Şişman &amp; Acat, 2003). For their mathematics lessons, besides the basic skills they need to have, the teachers should also have the 21st century skills such as creative and critical thinking, problem solving, having high communication skills, being open to new ideas, being flexible and adaptable, being </w:t>
      </w:r>
      <w:r w:rsidRPr="00F70642">
        <w:rPr>
          <w:color w:val="000000"/>
        </w:rPr>
        <w:lastRenderedPageBreak/>
        <w:t>aware of responsibilities, being self-directed and taking initiative, having developed social and cultural skills, having productive and leadership skills, being able to cooperate with others,  being able to use technology to reach information, and knowing how to reach the required knowledge (</w:t>
      </w:r>
      <w:r w:rsidR="00BD3FC3">
        <w:rPr>
          <w:color w:val="000000"/>
        </w:rPr>
        <w:t xml:space="preserve">Bergeson &amp; Beschorner, 2020; </w:t>
      </w:r>
      <w:r w:rsidR="00495181">
        <w:rPr>
          <w:color w:val="000000"/>
        </w:rPr>
        <w:t xml:space="preserve">Norton-Meier, Hand, &amp; Ardasheva, 2013; </w:t>
      </w:r>
      <w:r w:rsidRPr="00F70642">
        <w:rPr>
          <w:color w:val="000000"/>
        </w:rPr>
        <w:t>Uluyol &amp; Eryilmaz, 2015). While there is no universal view of what the 21st century skills are, some major companies summarize the 21st century skills with 13 competences under three headings. These include learning and innovation skills, creative thinking, critical thinking, problem solving, communication and collaboration, life and career skills, flexibility and harmony, self-direction, social skills, productivity and accountability and leadership, knowledge, media and technology skills, information, media and technology literacy (Partnership for 21st Century Skills, 2013)</w:t>
      </w:r>
      <w:r w:rsidR="00856E66">
        <w:rPr>
          <w:color w:val="000000"/>
        </w:rPr>
        <w:t>.</w:t>
      </w:r>
    </w:p>
    <w:p w:rsidR="00856E66" w:rsidRDefault="00856E66" w:rsidP="00176378">
      <w:pPr>
        <w:widowControl w:val="0"/>
        <w:suppressAutoHyphens w:val="0"/>
        <w:spacing w:line="360" w:lineRule="auto"/>
        <w:rPr>
          <w:color w:val="000000"/>
        </w:rPr>
      </w:pPr>
    </w:p>
    <w:p w:rsidR="00856E66" w:rsidRDefault="00856E66" w:rsidP="00176378">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The concept of technology literacy is one of the 21st century skills to adapt to changing conditions. Technology is the process of making changes in nature to meet the demands and needs of people (Garmire &amp; Pearson, 2006). Technology not only</w:t>
      </w:r>
      <w:r>
        <w:rPr>
          <w:rFonts w:eastAsia="Times New Roman" w:cs="Times New Roman"/>
          <w:szCs w:val="20"/>
          <w:lang w:val="en-GB" w:eastAsia="tr-TR"/>
        </w:rPr>
        <w:t xml:space="preserve"> refers to</w:t>
      </w:r>
      <w:r w:rsidRPr="00CC1DC5">
        <w:rPr>
          <w:rFonts w:eastAsia="Times New Roman" w:cs="Times New Roman"/>
          <w:szCs w:val="20"/>
          <w:lang w:val="en-GB" w:eastAsia="tr-TR"/>
        </w:rPr>
        <w:t xml:space="preserve"> a product/object, it also refers to a dynamic cultural phenomenon that includes social actions, worldview</w:t>
      </w:r>
      <w:r>
        <w:rPr>
          <w:rFonts w:eastAsia="Times New Roman" w:cs="Times New Roman"/>
          <w:szCs w:val="20"/>
          <w:lang w:val="en-GB" w:eastAsia="tr-TR"/>
        </w:rPr>
        <w:t>s</w:t>
      </w:r>
      <w:r w:rsidRPr="00CC1DC5">
        <w:rPr>
          <w:rFonts w:eastAsia="Times New Roman" w:cs="Times New Roman"/>
          <w:szCs w:val="20"/>
          <w:lang w:val="en-GB" w:eastAsia="tr-TR"/>
        </w:rPr>
        <w:t xml:space="preserve"> and social structuring (Dobres &amp; Hoffman, 1994). The existence of technology in human life is </w:t>
      </w:r>
      <w:r>
        <w:rPr>
          <w:rFonts w:eastAsia="Times New Roman" w:cs="Times New Roman"/>
          <w:szCs w:val="20"/>
          <w:lang w:val="en-GB" w:eastAsia="tr-TR"/>
        </w:rPr>
        <w:t xml:space="preserve">getting more and more salient each day. </w:t>
      </w:r>
      <w:r w:rsidRPr="00CC1DC5">
        <w:rPr>
          <w:rFonts w:eastAsia="Times New Roman" w:cs="Times New Roman"/>
          <w:szCs w:val="20"/>
          <w:lang w:val="en-GB" w:eastAsia="tr-TR"/>
        </w:rPr>
        <w:t xml:space="preserve">Therefore, it is necessary to have basic knowledge and skills related to the various dimensions of technology in human life, to benefit from it effectively, to </w:t>
      </w:r>
      <w:r>
        <w:rPr>
          <w:rFonts w:eastAsia="Times New Roman" w:cs="Times New Roman"/>
          <w:szCs w:val="20"/>
          <w:lang w:val="en-GB" w:eastAsia="tr-TR"/>
        </w:rPr>
        <w:t>be knowledgeable</w:t>
      </w:r>
      <w:r w:rsidRPr="00CC1DC5">
        <w:rPr>
          <w:rFonts w:eastAsia="Times New Roman" w:cs="Times New Roman"/>
          <w:szCs w:val="20"/>
          <w:lang w:val="en-GB" w:eastAsia="tr-TR"/>
        </w:rPr>
        <w:t xml:space="preserve"> about </w:t>
      </w:r>
      <w:r>
        <w:rPr>
          <w:rFonts w:eastAsia="Times New Roman" w:cs="Times New Roman"/>
          <w:szCs w:val="20"/>
          <w:lang w:val="en-GB" w:eastAsia="tr-TR"/>
        </w:rPr>
        <w:t xml:space="preserve">the </w:t>
      </w:r>
      <w:r w:rsidRPr="00CC1DC5">
        <w:rPr>
          <w:rFonts w:eastAsia="Times New Roman" w:cs="Times New Roman"/>
          <w:szCs w:val="20"/>
          <w:lang w:val="en-GB" w:eastAsia="tr-TR"/>
        </w:rPr>
        <w:t>equipment and technical information that will shape the future</w:t>
      </w:r>
      <w:r>
        <w:rPr>
          <w:rFonts w:eastAsia="Times New Roman" w:cs="Times New Roman"/>
          <w:szCs w:val="20"/>
          <w:lang w:val="en-GB" w:eastAsia="tr-TR"/>
        </w:rPr>
        <w:t>,</w:t>
      </w:r>
      <w:r w:rsidRPr="00CC1DC5">
        <w:rPr>
          <w:rFonts w:eastAsia="Times New Roman" w:cs="Times New Roman"/>
          <w:szCs w:val="20"/>
          <w:lang w:val="en-GB" w:eastAsia="tr-TR"/>
        </w:rPr>
        <w:t xml:space="preserve"> and to </w:t>
      </w:r>
      <w:r>
        <w:rPr>
          <w:rFonts w:eastAsia="Times New Roman" w:cs="Times New Roman"/>
          <w:szCs w:val="20"/>
          <w:lang w:val="en-GB" w:eastAsia="tr-TR"/>
        </w:rPr>
        <w:t xml:space="preserve">advance </w:t>
      </w:r>
      <w:r w:rsidRPr="00CC1DC5">
        <w:rPr>
          <w:rFonts w:eastAsia="Times New Roman" w:cs="Times New Roman"/>
          <w:szCs w:val="20"/>
          <w:lang w:val="en-GB" w:eastAsia="tr-TR"/>
        </w:rPr>
        <w:t>the current technology (Yigit, 2011). It is important for mathematics teachers to understand the meaning of concepts such as technology, technology education and technology literacy in a correct way</w:t>
      </w:r>
      <w:r>
        <w:rPr>
          <w:rFonts w:eastAsia="Times New Roman" w:cs="Times New Roman"/>
          <w:szCs w:val="20"/>
          <w:lang w:val="en-GB" w:eastAsia="tr-TR"/>
        </w:rPr>
        <w:t>,</w:t>
      </w:r>
      <w:r w:rsidRPr="00CC1DC5">
        <w:rPr>
          <w:rFonts w:eastAsia="Times New Roman" w:cs="Times New Roman"/>
          <w:szCs w:val="20"/>
          <w:lang w:val="en-GB" w:eastAsia="tr-TR"/>
        </w:rPr>
        <w:t xml:space="preserve"> to integrate technology effectively into the courses</w:t>
      </w:r>
      <w:r>
        <w:rPr>
          <w:rFonts w:eastAsia="Times New Roman" w:cs="Times New Roman"/>
          <w:szCs w:val="20"/>
          <w:lang w:val="en-GB" w:eastAsia="tr-TR"/>
        </w:rPr>
        <w:t>,</w:t>
      </w:r>
      <w:r w:rsidRPr="00CC1DC5">
        <w:rPr>
          <w:rFonts w:eastAsia="Times New Roman" w:cs="Times New Roman"/>
          <w:szCs w:val="20"/>
          <w:lang w:val="en-GB" w:eastAsia="tr-TR"/>
        </w:rPr>
        <w:t xml:space="preserve"> and to create more qualified classroom environments. </w:t>
      </w:r>
      <w:r>
        <w:rPr>
          <w:rFonts w:eastAsia="Times New Roman" w:cs="Times New Roman"/>
          <w:szCs w:val="20"/>
          <w:lang w:val="en-GB" w:eastAsia="tr-TR"/>
        </w:rPr>
        <w:t>Thanks to s</w:t>
      </w:r>
      <w:r w:rsidRPr="00CC1DC5">
        <w:rPr>
          <w:rFonts w:eastAsia="Times New Roman" w:cs="Times New Roman"/>
          <w:szCs w:val="20"/>
          <w:lang w:val="en-GB" w:eastAsia="tr-TR"/>
        </w:rPr>
        <w:t>uccessful technology education and technology-supported education</w:t>
      </w:r>
      <w:r>
        <w:rPr>
          <w:rFonts w:eastAsia="Times New Roman" w:cs="Times New Roman"/>
          <w:szCs w:val="20"/>
          <w:lang w:val="en-GB" w:eastAsia="tr-TR"/>
        </w:rPr>
        <w:t>, it is ensured that</w:t>
      </w:r>
      <w:r w:rsidRPr="00CC1DC5">
        <w:rPr>
          <w:rFonts w:eastAsia="Times New Roman" w:cs="Times New Roman"/>
          <w:szCs w:val="20"/>
          <w:lang w:val="en-GB" w:eastAsia="tr-TR"/>
        </w:rPr>
        <w:t xml:space="preserve"> the individual comprehend</w:t>
      </w:r>
      <w:r>
        <w:rPr>
          <w:rFonts w:eastAsia="Times New Roman" w:cs="Times New Roman"/>
          <w:szCs w:val="20"/>
          <w:lang w:val="en-GB" w:eastAsia="tr-TR"/>
        </w:rPr>
        <w:t>s</w:t>
      </w:r>
      <w:r w:rsidRPr="00CC1DC5">
        <w:rPr>
          <w:rFonts w:eastAsia="Times New Roman" w:cs="Times New Roman"/>
          <w:szCs w:val="20"/>
          <w:lang w:val="en-GB" w:eastAsia="tr-TR"/>
        </w:rPr>
        <w:t xml:space="preserve"> the relation </w:t>
      </w:r>
      <w:r>
        <w:rPr>
          <w:rFonts w:eastAsia="Times New Roman" w:cs="Times New Roman"/>
          <w:szCs w:val="20"/>
          <w:lang w:val="en-GB" w:eastAsia="tr-TR"/>
        </w:rPr>
        <w:t>of</w:t>
      </w:r>
      <w:r w:rsidRPr="00CC1DC5">
        <w:rPr>
          <w:rFonts w:eastAsia="Times New Roman" w:cs="Times New Roman"/>
          <w:szCs w:val="20"/>
          <w:lang w:val="en-GB" w:eastAsia="tr-TR"/>
        </w:rPr>
        <w:t xml:space="preserve"> technology</w:t>
      </w:r>
      <w:r>
        <w:rPr>
          <w:rFonts w:eastAsia="Times New Roman" w:cs="Times New Roman"/>
          <w:szCs w:val="20"/>
          <w:lang w:val="en-GB" w:eastAsia="tr-TR"/>
        </w:rPr>
        <w:t xml:space="preserve"> with</w:t>
      </w:r>
      <w:r w:rsidRPr="00CC1DC5">
        <w:rPr>
          <w:rFonts w:eastAsia="Times New Roman" w:cs="Times New Roman"/>
          <w:szCs w:val="20"/>
          <w:lang w:val="en-GB" w:eastAsia="tr-TR"/>
        </w:rPr>
        <w:t xml:space="preserve"> nature, society and culture</w:t>
      </w:r>
      <w:r>
        <w:rPr>
          <w:rFonts w:eastAsia="Times New Roman" w:cs="Times New Roman"/>
          <w:szCs w:val="20"/>
          <w:lang w:val="en-GB" w:eastAsia="tr-TR"/>
        </w:rPr>
        <w:t xml:space="preserve"> while</w:t>
      </w:r>
      <w:r w:rsidRPr="00CC1DC5">
        <w:rPr>
          <w:rFonts w:eastAsia="Times New Roman" w:cs="Times New Roman"/>
          <w:szCs w:val="20"/>
          <w:lang w:val="en-GB" w:eastAsia="tr-TR"/>
        </w:rPr>
        <w:t xml:space="preserve"> </w:t>
      </w:r>
      <w:r>
        <w:rPr>
          <w:rFonts w:eastAsia="Times New Roman" w:cs="Times New Roman"/>
          <w:szCs w:val="20"/>
          <w:lang w:val="en-GB" w:eastAsia="tr-TR"/>
        </w:rPr>
        <w:t xml:space="preserve">some </w:t>
      </w:r>
      <w:r w:rsidRPr="00CC1DC5">
        <w:rPr>
          <w:rFonts w:eastAsia="Times New Roman" w:cs="Times New Roman"/>
          <w:szCs w:val="20"/>
          <w:lang w:val="en-GB" w:eastAsia="tr-TR"/>
        </w:rPr>
        <w:t>criteria</w:t>
      </w:r>
      <w:r>
        <w:rPr>
          <w:rFonts w:eastAsia="Times New Roman" w:cs="Times New Roman"/>
          <w:szCs w:val="20"/>
          <w:lang w:val="en-GB" w:eastAsia="tr-TR"/>
        </w:rPr>
        <w:t xml:space="preserve"> are also provided</w:t>
      </w:r>
      <w:r w:rsidRPr="00CC1DC5">
        <w:rPr>
          <w:rFonts w:eastAsia="Times New Roman" w:cs="Times New Roman"/>
          <w:szCs w:val="20"/>
          <w:lang w:val="en-GB" w:eastAsia="tr-TR"/>
        </w:rPr>
        <w:t xml:space="preserve"> to enable individuals and institutions to benefit from technology consciously (Kelani, 2009). The main objective of technology education is to increase the technology literacy of societies (Yılmaz &amp; Horzum, 2005). Technology literacy </w:t>
      </w:r>
      <w:proofErr w:type="gramStart"/>
      <w:r w:rsidRPr="00CC1DC5">
        <w:rPr>
          <w:rFonts w:eastAsia="Times New Roman" w:cs="Times New Roman"/>
          <w:szCs w:val="20"/>
          <w:lang w:val="en-GB" w:eastAsia="tr-TR"/>
        </w:rPr>
        <w:t xml:space="preserve">is </w:t>
      </w:r>
      <w:r>
        <w:rPr>
          <w:rFonts w:eastAsia="Times New Roman" w:cs="Times New Roman"/>
          <w:szCs w:val="20"/>
          <w:lang w:val="en-GB" w:eastAsia="tr-TR"/>
        </w:rPr>
        <w:t xml:space="preserve"> the</w:t>
      </w:r>
      <w:proofErr w:type="gramEnd"/>
      <w:r>
        <w:rPr>
          <w:rFonts w:eastAsia="Times New Roman" w:cs="Times New Roman"/>
          <w:szCs w:val="20"/>
          <w:lang w:val="en-GB" w:eastAsia="tr-TR"/>
        </w:rPr>
        <w:t xml:space="preserve"> ability to use digital technology</w:t>
      </w:r>
      <w:r w:rsidRPr="00CC1DC5">
        <w:rPr>
          <w:rFonts w:eastAsia="Times New Roman" w:cs="Times New Roman"/>
          <w:szCs w:val="20"/>
          <w:lang w:val="en-GB" w:eastAsia="tr-TR"/>
        </w:rPr>
        <w:t xml:space="preserve"> to access, integrate, manage, evaluate and produce information in order to take part in society (Panel, 2002)</w:t>
      </w:r>
      <w:r>
        <w:rPr>
          <w:rFonts w:eastAsia="Times New Roman" w:cs="Times New Roman"/>
          <w:szCs w:val="20"/>
          <w:lang w:val="en-GB" w:eastAsia="tr-TR"/>
        </w:rPr>
        <w:t>,</w:t>
      </w:r>
      <w:r w:rsidRPr="00CC1DC5">
        <w:rPr>
          <w:rFonts w:eastAsia="Times New Roman" w:cs="Times New Roman"/>
          <w:szCs w:val="20"/>
          <w:lang w:val="en-GB" w:eastAsia="tr-TR"/>
        </w:rPr>
        <w:t xml:space="preserve"> and to </w:t>
      </w:r>
      <w:r>
        <w:rPr>
          <w:rFonts w:eastAsia="Times New Roman" w:cs="Times New Roman"/>
          <w:szCs w:val="20"/>
          <w:lang w:val="en-GB" w:eastAsia="tr-TR"/>
        </w:rPr>
        <w:t>explore</w:t>
      </w:r>
      <w:r w:rsidRPr="00CC1DC5">
        <w:rPr>
          <w:rFonts w:eastAsia="Times New Roman" w:cs="Times New Roman"/>
          <w:szCs w:val="20"/>
          <w:lang w:val="en-GB" w:eastAsia="tr-TR"/>
        </w:rPr>
        <w:t xml:space="preserve"> the information in the digital environment and to ensure its transmission (Eryilmaz &amp; Uluyol, 2015). In other words, technology literacy </w:t>
      </w:r>
      <w:r>
        <w:rPr>
          <w:rFonts w:eastAsia="Times New Roman" w:cs="Times New Roman"/>
          <w:szCs w:val="20"/>
          <w:lang w:val="en-GB" w:eastAsia="tr-TR"/>
        </w:rPr>
        <w:t>refers to</w:t>
      </w:r>
      <w:r w:rsidRPr="00CC1DC5">
        <w:rPr>
          <w:rFonts w:eastAsia="Times New Roman" w:cs="Times New Roman"/>
          <w:szCs w:val="20"/>
          <w:lang w:val="en-GB" w:eastAsia="tr-TR"/>
        </w:rPr>
        <w:t xml:space="preserve"> the ability to use, understand, evaluate and manage technology (Yigit, 2011).</w:t>
      </w:r>
      <w:r w:rsidRPr="00CC1DC5" w:rsidDel="00720A61">
        <w:rPr>
          <w:rFonts w:eastAsia="Times New Roman" w:cs="Times New Roman"/>
          <w:szCs w:val="20"/>
          <w:lang w:val="en-GB" w:eastAsia="tr-TR"/>
        </w:rPr>
        <w:t xml:space="preserve"> </w:t>
      </w:r>
      <w:r w:rsidRPr="00CC1DC5">
        <w:rPr>
          <w:rFonts w:eastAsia="Times New Roman" w:cs="Times New Roman"/>
          <w:szCs w:val="20"/>
          <w:lang w:val="en-GB" w:eastAsia="tr-TR"/>
        </w:rPr>
        <w:t xml:space="preserve">As a result of increasing global competition and the need for continuous innovation, organizations expect </w:t>
      </w:r>
      <w:r>
        <w:rPr>
          <w:rFonts w:eastAsia="Times New Roman" w:cs="Times New Roman"/>
          <w:szCs w:val="20"/>
          <w:lang w:val="en-GB" w:eastAsia="tr-TR"/>
        </w:rPr>
        <w:t xml:space="preserve">their </w:t>
      </w:r>
      <w:r w:rsidRPr="00CC1DC5">
        <w:rPr>
          <w:rFonts w:eastAsia="Times New Roman" w:cs="Times New Roman"/>
          <w:szCs w:val="20"/>
          <w:lang w:val="en-GB" w:eastAsia="tr-TR"/>
        </w:rPr>
        <w:t>employees to take initiatives in their jobs (Grant &amp;</w:t>
      </w:r>
      <w:r>
        <w:rPr>
          <w:rFonts w:eastAsia="Times New Roman" w:cs="Times New Roman"/>
          <w:szCs w:val="20"/>
          <w:lang w:val="en-GB" w:eastAsia="tr-TR"/>
        </w:rPr>
        <w:t xml:space="preserve"> Ashford, 2008). </w:t>
      </w:r>
      <w:r w:rsidRPr="00CC1DC5">
        <w:rPr>
          <w:rFonts w:eastAsia="Times New Roman" w:cs="Times New Roman"/>
          <w:szCs w:val="20"/>
          <w:lang w:val="en-GB" w:eastAsia="tr-TR"/>
        </w:rPr>
        <w:t xml:space="preserve">Some of the most important behaviours that stand out </w:t>
      </w:r>
      <w:r>
        <w:rPr>
          <w:rFonts w:eastAsia="Times New Roman" w:cs="Times New Roman"/>
          <w:szCs w:val="20"/>
          <w:lang w:val="en-GB" w:eastAsia="tr-TR"/>
        </w:rPr>
        <w:t>among the</w:t>
      </w:r>
      <w:r w:rsidRPr="00CC1DC5">
        <w:rPr>
          <w:rFonts w:eastAsia="Times New Roman" w:cs="Times New Roman"/>
          <w:szCs w:val="20"/>
          <w:lang w:val="en-GB" w:eastAsia="tr-TR"/>
        </w:rPr>
        <w:t xml:space="preserve"> 21st century skills are knowing responsibilities, being self-</w:t>
      </w:r>
      <w:r>
        <w:rPr>
          <w:rFonts w:eastAsia="Times New Roman" w:cs="Times New Roman"/>
          <w:szCs w:val="20"/>
          <w:lang w:val="en-GB" w:eastAsia="tr-TR"/>
        </w:rPr>
        <w:t>directed</w:t>
      </w:r>
      <w:r w:rsidRPr="00CC1DC5">
        <w:rPr>
          <w:rFonts w:eastAsia="Times New Roman" w:cs="Times New Roman"/>
          <w:szCs w:val="20"/>
          <w:lang w:val="en-GB" w:eastAsia="tr-TR"/>
        </w:rPr>
        <w:t xml:space="preserve"> and taking initiative.  Today, it is no longer enough to fulfil the tasks that have been defined. Nowadays, there is a desire to work with employees who </w:t>
      </w:r>
      <w:r>
        <w:rPr>
          <w:rFonts w:eastAsia="Times New Roman" w:cs="Times New Roman"/>
          <w:szCs w:val="20"/>
          <w:lang w:val="en-GB" w:eastAsia="tr-TR"/>
        </w:rPr>
        <w:t>demonstrate</w:t>
      </w:r>
      <w:r w:rsidRPr="00CC1DC5">
        <w:rPr>
          <w:rFonts w:eastAsia="Times New Roman" w:cs="Times New Roman"/>
          <w:szCs w:val="20"/>
          <w:lang w:val="en-GB" w:eastAsia="tr-TR"/>
        </w:rPr>
        <w:t xml:space="preserve"> </w:t>
      </w:r>
      <w:r>
        <w:rPr>
          <w:rFonts w:eastAsia="Times New Roman" w:cs="Times New Roman"/>
          <w:szCs w:val="20"/>
          <w:lang w:val="en-GB" w:eastAsia="tr-TR"/>
        </w:rPr>
        <w:t xml:space="preserve">a </w:t>
      </w:r>
      <w:r w:rsidRPr="00CC1DC5">
        <w:rPr>
          <w:rFonts w:eastAsia="Times New Roman" w:cs="Times New Roman"/>
          <w:szCs w:val="20"/>
          <w:lang w:val="en-GB" w:eastAsia="tr-TR"/>
        </w:rPr>
        <w:t>high level of performance in the</w:t>
      </w:r>
      <w:r>
        <w:rPr>
          <w:rFonts w:eastAsia="Times New Roman" w:cs="Times New Roman"/>
          <w:szCs w:val="20"/>
          <w:lang w:val="en-GB" w:eastAsia="tr-TR"/>
        </w:rPr>
        <w:t>ir</w:t>
      </w:r>
      <w:r w:rsidRPr="00CC1DC5">
        <w:rPr>
          <w:rFonts w:eastAsia="Times New Roman" w:cs="Times New Roman"/>
          <w:szCs w:val="20"/>
          <w:lang w:val="en-GB" w:eastAsia="tr-TR"/>
        </w:rPr>
        <w:t xml:space="preserve"> job</w:t>
      </w:r>
      <w:r>
        <w:rPr>
          <w:rFonts w:eastAsia="Times New Roman" w:cs="Times New Roman"/>
          <w:szCs w:val="20"/>
          <w:lang w:val="en-GB" w:eastAsia="tr-TR"/>
        </w:rPr>
        <w:t>s</w:t>
      </w:r>
      <w:r w:rsidRPr="00CC1DC5">
        <w:rPr>
          <w:rFonts w:eastAsia="Times New Roman" w:cs="Times New Roman"/>
          <w:szCs w:val="20"/>
          <w:lang w:val="en-GB" w:eastAsia="tr-TR"/>
        </w:rPr>
        <w:t xml:space="preserve"> (Parker, Bindl, &amp; Strauss, 2010). This desire highlights proactive personality in the 21st century. Proactivity, which has not yet taken its place in the Turkish Language Society Dictionary, is defined as “action</w:t>
      </w:r>
      <w:r>
        <w:rPr>
          <w:rFonts w:eastAsia="Times New Roman" w:cs="Times New Roman"/>
          <w:szCs w:val="20"/>
          <w:lang w:val="en-GB" w:eastAsia="tr-TR"/>
        </w:rPr>
        <w:t>-</w:t>
      </w:r>
      <w:r w:rsidRPr="00CC1DC5">
        <w:rPr>
          <w:rFonts w:eastAsia="Times New Roman" w:cs="Times New Roman"/>
          <w:szCs w:val="20"/>
          <w:lang w:val="en-GB" w:eastAsia="tr-TR"/>
        </w:rPr>
        <w:t xml:space="preserve"> and result-oriented behaviours that</w:t>
      </w:r>
      <w:r>
        <w:rPr>
          <w:rFonts w:eastAsia="Times New Roman" w:cs="Times New Roman"/>
          <w:szCs w:val="20"/>
          <w:lang w:val="en-GB" w:eastAsia="tr-TR"/>
        </w:rPr>
        <w:t xml:space="preserve"> are displayed</w:t>
      </w:r>
      <w:r w:rsidRPr="00CC1DC5">
        <w:rPr>
          <w:rFonts w:eastAsia="Times New Roman" w:cs="Times New Roman"/>
          <w:szCs w:val="20"/>
          <w:lang w:val="en-GB" w:eastAsia="tr-TR"/>
        </w:rPr>
        <w:t xml:space="preserve"> to co</w:t>
      </w:r>
      <w:r>
        <w:rPr>
          <w:rFonts w:eastAsia="Times New Roman" w:cs="Times New Roman"/>
          <w:szCs w:val="20"/>
          <w:lang w:val="en-GB" w:eastAsia="tr-TR"/>
        </w:rPr>
        <w:t>ntrol</w:t>
      </w:r>
      <w:r w:rsidRPr="00CC1DC5">
        <w:rPr>
          <w:rFonts w:eastAsia="Times New Roman" w:cs="Times New Roman"/>
          <w:szCs w:val="20"/>
          <w:lang w:val="en-GB" w:eastAsia="tr-TR"/>
        </w:rPr>
        <w:t xml:space="preserve"> the events rather than </w:t>
      </w:r>
      <w:r>
        <w:rPr>
          <w:rFonts w:eastAsia="Times New Roman" w:cs="Times New Roman"/>
          <w:szCs w:val="20"/>
          <w:lang w:val="en-GB" w:eastAsia="tr-TR"/>
        </w:rPr>
        <w:t xml:space="preserve">just </w:t>
      </w:r>
      <w:r w:rsidRPr="00CC1DC5">
        <w:rPr>
          <w:rFonts w:eastAsia="Times New Roman" w:cs="Times New Roman"/>
          <w:szCs w:val="20"/>
          <w:lang w:val="en-GB" w:eastAsia="tr-TR"/>
        </w:rPr>
        <w:t>waiting</w:t>
      </w:r>
      <w:r>
        <w:rPr>
          <w:rFonts w:eastAsia="Times New Roman" w:cs="Times New Roman"/>
          <w:szCs w:val="20"/>
          <w:lang w:val="en-GB" w:eastAsia="tr-TR"/>
        </w:rPr>
        <w:t xml:space="preserve"> for them</w:t>
      </w:r>
      <w:r w:rsidRPr="00CC1DC5">
        <w:rPr>
          <w:rFonts w:eastAsia="Times New Roman" w:cs="Times New Roman"/>
          <w:szCs w:val="20"/>
          <w:lang w:val="en-GB" w:eastAsia="tr-TR"/>
        </w:rPr>
        <w:t xml:space="preserve"> to</w:t>
      </w:r>
      <w:r>
        <w:rPr>
          <w:rFonts w:eastAsia="Times New Roman" w:cs="Times New Roman"/>
          <w:szCs w:val="20"/>
          <w:lang w:val="en-GB" w:eastAsia="tr-TR"/>
        </w:rPr>
        <w:t xml:space="preserve"> be resolved</w:t>
      </w:r>
      <w:r w:rsidRPr="00CC1DC5">
        <w:rPr>
          <w:rFonts w:eastAsia="Times New Roman" w:cs="Times New Roman"/>
          <w:szCs w:val="20"/>
          <w:lang w:val="en-GB" w:eastAsia="tr-TR"/>
        </w:rPr>
        <w:t xml:space="preserve"> </w:t>
      </w:r>
      <w:r>
        <w:rPr>
          <w:rFonts w:eastAsia="Times New Roman" w:cs="Times New Roman"/>
          <w:szCs w:val="20"/>
          <w:lang w:val="en-GB" w:eastAsia="tr-TR"/>
        </w:rPr>
        <w:t xml:space="preserve">by </w:t>
      </w:r>
      <w:r w:rsidRPr="00CC1DC5">
        <w:rPr>
          <w:rFonts w:eastAsia="Times New Roman" w:cs="Times New Roman"/>
          <w:szCs w:val="20"/>
          <w:lang w:val="en-GB" w:eastAsia="tr-TR"/>
        </w:rPr>
        <w:t xml:space="preserve">themselves” in Business Dictionary; </w:t>
      </w:r>
      <w:r>
        <w:rPr>
          <w:rFonts w:eastAsia="Times New Roman" w:cs="Times New Roman"/>
          <w:szCs w:val="20"/>
          <w:lang w:val="en-GB" w:eastAsia="tr-TR"/>
        </w:rPr>
        <w:t xml:space="preserve">and </w:t>
      </w:r>
      <w:r w:rsidRPr="00CC1DC5">
        <w:rPr>
          <w:rFonts w:eastAsia="Times New Roman" w:cs="Times New Roman"/>
          <w:szCs w:val="20"/>
          <w:lang w:val="en-GB" w:eastAsia="tr-TR"/>
        </w:rPr>
        <w:t>"taking action by making changes in time" in Cambridge Dictionary. Proactivity is a personality trait that motivates and mobilizes the individual.</w:t>
      </w:r>
    </w:p>
    <w:p w:rsidR="00856E66" w:rsidRDefault="00856E66" w:rsidP="00176378">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 xml:space="preserve">Bateman and Crant (1993) elaborated the structure of proactive personality through several behavioural outcomes such as extroversion, more participation in learning activities, more success-orientedness, and showing conscious </w:t>
      </w:r>
      <w:r w:rsidRPr="000C4D2C">
        <w:rPr>
          <w:rFonts w:eastAsia="Times New Roman" w:cs="Times New Roman"/>
          <w:szCs w:val="20"/>
          <w:lang w:val="en-GB" w:eastAsia="tr-TR"/>
        </w:rPr>
        <w:lastRenderedPageBreak/>
        <w:t xml:space="preserve">behaviour. Parker, Williams, and Turner (2006) defined proactivity as activities that a person implements in order to change the future, </w:t>
      </w:r>
      <w:proofErr w:type="gramStart"/>
      <w:r w:rsidRPr="000C4D2C">
        <w:rPr>
          <w:rFonts w:eastAsia="Times New Roman" w:cs="Times New Roman"/>
          <w:szCs w:val="20"/>
          <w:lang w:val="en-GB" w:eastAsia="tr-TR"/>
        </w:rPr>
        <w:t>taking into account</w:t>
      </w:r>
      <w:proofErr w:type="gramEnd"/>
      <w:r w:rsidRPr="000C4D2C">
        <w:rPr>
          <w:rFonts w:eastAsia="Times New Roman" w:cs="Times New Roman"/>
          <w:szCs w:val="20"/>
          <w:lang w:val="en-GB" w:eastAsia="tr-TR"/>
        </w:rPr>
        <w:t xml:space="preserve"> the situation s/he initiated or encountered, with the purpose of achieving his/her change and development. In contrast with proactive people, reactive individuals wait for other people to </w:t>
      </w:r>
      <w:proofErr w:type="gramStart"/>
      <w:r w:rsidRPr="000C4D2C">
        <w:rPr>
          <w:rFonts w:eastAsia="Times New Roman" w:cs="Times New Roman"/>
          <w:szCs w:val="20"/>
          <w:lang w:val="en-GB" w:eastAsia="tr-TR"/>
        </w:rPr>
        <w:t>take action</w:t>
      </w:r>
      <w:proofErr w:type="gramEnd"/>
      <w:r w:rsidRPr="000C4D2C">
        <w:rPr>
          <w:rFonts w:eastAsia="Times New Roman" w:cs="Times New Roman"/>
          <w:szCs w:val="20"/>
          <w:lang w:val="en-GB" w:eastAsia="tr-TR"/>
        </w:rPr>
        <w:t xml:space="preserve"> and for the external factors to create a change by exhibiting a passive attitude (Bateman &amp; Crant, 1993).</w:t>
      </w:r>
      <w:r>
        <w:rPr>
          <w:rFonts w:eastAsia="Times New Roman" w:cs="Times New Roman"/>
          <w:szCs w:val="20"/>
          <w:lang w:val="en-GB" w:eastAsia="tr-TR"/>
        </w:rPr>
        <w:t xml:space="preserve"> </w:t>
      </w:r>
      <w:r w:rsidRPr="000C4D2C">
        <w:rPr>
          <w:rFonts w:eastAsia="Times New Roman" w:cs="Times New Roman"/>
          <w:szCs w:val="20"/>
          <w:lang w:val="en-GB" w:eastAsia="tr-TR"/>
        </w:rPr>
        <w:t>There are three sub-stages in a proactive behavior. In the first stage, the behaviour is initiated by the individual himself/herself. In the second stage, the individual exhibiting the behavior should have an anticipation and in the last stage behavior should serve for a change (Aybatan, 2018). Considering the definitions of proactivity, proactive behaviours and proactive personality traits, it is believed that teachers with proactive personality are essential for school organizations.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 xml:space="preserve">This idea is supported by the findings of Hotaman (2010). According to Hotaman (2010), the personality traits of teachers are as important as their field expertise and teaching skills. In the proactive personality, as in the motivational factors of Herzberg (1959), mental or behavioural tendencies come from the innerside of the individual (Parker, Williams, &amp; Turner, 2006). According to Herzberg (1959), individuals and organizations cannot achieve their goals without motivational factors. Parker, Williams, and Turner (2006) stated that proactive personality constitutes motivation in the individual. For this reason, it can be thought that the high level of proactive traits are essential for secondary school mathematics teachers to create change in mathematics courses, not </w:t>
      </w:r>
      <w:proofErr w:type="gramStart"/>
      <w:r w:rsidRPr="000C4D2C">
        <w:rPr>
          <w:rFonts w:eastAsia="Times New Roman" w:cs="Times New Roman"/>
          <w:szCs w:val="20"/>
          <w:lang w:val="en-GB" w:eastAsia="tr-TR"/>
        </w:rPr>
        <w:t>to  make</w:t>
      </w:r>
      <w:proofErr w:type="gramEnd"/>
      <w:r w:rsidRPr="000C4D2C">
        <w:rPr>
          <w:rFonts w:eastAsia="Times New Roman" w:cs="Times New Roman"/>
          <w:szCs w:val="20"/>
          <w:lang w:val="en-GB" w:eastAsia="tr-TR"/>
        </w:rPr>
        <w:t xml:space="preserve"> just excuses related to external factors in the process, and to take responsibility in the teaching process. Besides, it can be considered that teachers with proactive personality structure will be more entrepreneurial about having the 21st century skills, and they will develop a more conscious attitude towards technology literacy.</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How to integrate emerging technologies into geometry and mathematics education processes and how to transfer them to learning environments is a critical consideration that can affect the success of education. At the same time, how to increase the competencies of teachers, who are the main implementers of new technological approaches, is very important in terms of raising the human profile that will meet the requirements of the age (Karaarslan, Boz, &amp; Yıldırım, 2013). Teachers play a key role in integrating technology into education (Instefjord &amp; Munthe 2017; Kim et al., 2013; Lawless &amp; Pellegrino 2007; Tondeur et al., 2012). For this reason, teachers and teacher educators should be technologically literate (Agyei &amp; Voogt, 2011; Sang, Valcke, van Braak, &amp; Tondeur, 2010; Tondeur, van Braak, Siddiq, &amp; Scherer, 2016; Uerz, Volman, &amp; Kral, 2018). The qualities of being technologically literate may vary according to the socio-cultural context. For example, the characteristics of being technologically literate in a tribe in New Guinea will not correspond to the same characteristics belonged by an individual who is technologically literate in Sydney, Australia (Ingerman &amp; Collier Reed, 2010).</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 xml:space="preserve">Therefore, technology literacy should be interpreted </w:t>
      </w:r>
      <w:r>
        <w:rPr>
          <w:rFonts w:eastAsia="Times New Roman" w:cs="Times New Roman"/>
          <w:szCs w:val="20"/>
          <w:lang w:val="en-GB" w:eastAsia="tr-TR"/>
        </w:rPr>
        <w:t>depending on</w:t>
      </w:r>
      <w:r w:rsidRPr="00CC1DC5">
        <w:rPr>
          <w:rFonts w:eastAsia="Times New Roman" w:cs="Times New Roman"/>
          <w:szCs w:val="20"/>
          <w:lang w:val="en-GB" w:eastAsia="tr-TR"/>
        </w:rPr>
        <w:t xml:space="preserve"> the existing </w:t>
      </w:r>
      <w:r>
        <w:rPr>
          <w:rFonts w:eastAsia="Times New Roman" w:cs="Times New Roman"/>
          <w:szCs w:val="20"/>
          <w:lang w:val="en-GB" w:eastAsia="tr-TR"/>
        </w:rPr>
        <w:t xml:space="preserve">context </w:t>
      </w:r>
      <w:r w:rsidRPr="00CC1DC5">
        <w:rPr>
          <w:rFonts w:eastAsia="Times New Roman" w:cs="Times New Roman"/>
          <w:szCs w:val="20"/>
          <w:lang w:val="en-GB" w:eastAsia="tr-TR"/>
        </w:rPr>
        <w:t xml:space="preserve">rather than </w:t>
      </w:r>
      <w:r>
        <w:rPr>
          <w:rFonts w:eastAsia="Times New Roman" w:cs="Times New Roman"/>
          <w:szCs w:val="20"/>
          <w:lang w:val="en-GB" w:eastAsia="tr-TR"/>
        </w:rPr>
        <w:t xml:space="preserve">some </w:t>
      </w:r>
      <w:r w:rsidRPr="00CC1DC5">
        <w:rPr>
          <w:rFonts w:eastAsia="Times New Roman" w:cs="Times New Roman"/>
          <w:szCs w:val="20"/>
          <w:lang w:val="en-GB" w:eastAsia="tr-TR"/>
        </w:rPr>
        <w:t xml:space="preserve">general characteristics (Ingerman &amp; Collier Reed, 2010). Molebash (2004) found that the inadequacies </w:t>
      </w:r>
      <w:r w:rsidRPr="0032565C">
        <w:rPr>
          <w:rFonts w:eastAsia="Times New Roman" w:cs="Times New Roman"/>
          <w:szCs w:val="20"/>
          <w:lang w:val="en-GB" w:eastAsia="tr-TR"/>
        </w:rPr>
        <w:t>experienced in providing technology-integrated activities in teacher training institutions</w:t>
      </w:r>
      <w:r w:rsidRPr="00CC1DC5" w:rsidDel="00EB75A8">
        <w:rPr>
          <w:rFonts w:eastAsia="Times New Roman" w:cs="Times New Roman"/>
          <w:szCs w:val="20"/>
          <w:lang w:val="en-GB" w:eastAsia="tr-TR"/>
        </w:rPr>
        <w:t xml:space="preserve"> </w:t>
      </w:r>
      <w:r w:rsidRPr="00CC1DC5">
        <w:rPr>
          <w:rFonts w:eastAsia="Times New Roman" w:cs="Times New Roman"/>
          <w:szCs w:val="20"/>
          <w:lang w:val="en-GB" w:eastAsia="tr-TR"/>
        </w:rPr>
        <w:t>had a negative impact on teachers' utilization of technology and in</w:t>
      </w:r>
      <w:r>
        <w:rPr>
          <w:rFonts w:eastAsia="Times New Roman" w:cs="Times New Roman"/>
          <w:szCs w:val="20"/>
          <w:lang w:val="en-GB" w:eastAsia="tr-TR"/>
        </w:rPr>
        <w:t>tegration</w:t>
      </w:r>
      <w:r w:rsidRPr="00CC1DC5">
        <w:rPr>
          <w:rFonts w:eastAsia="Times New Roman" w:cs="Times New Roman"/>
          <w:szCs w:val="20"/>
          <w:lang w:val="en-GB" w:eastAsia="tr-TR"/>
        </w:rPr>
        <w:t xml:space="preserve"> of technology in their courses. Callava (2007) stated that </w:t>
      </w:r>
      <w:r>
        <w:rPr>
          <w:rFonts w:eastAsia="Times New Roman" w:cs="Times New Roman"/>
          <w:szCs w:val="20"/>
          <w:lang w:val="en-GB" w:eastAsia="tr-TR"/>
        </w:rPr>
        <w:t xml:space="preserve">despite </w:t>
      </w:r>
      <w:r w:rsidRPr="00CC1DC5">
        <w:rPr>
          <w:rFonts w:eastAsia="Times New Roman" w:cs="Times New Roman"/>
          <w:szCs w:val="20"/>
          <w:lang w:val="en-GB" w:eastAsia="tr-TR"/>
        </w:rPr>
        <w:t xml:space="preserve">the positive attitudes towards computer technology in education faculties, these attitudes are not reflected in the </w:t>
      </w:r>
      <w:r>
        <w:rPr>
          <w:rFonts w:eastAsia="Times New Roman" w:cs="Times New Roman"/>
          <w:szCs w:val="20"/>
          <w:lang w:val="en-GB" w:eastAsia="tr-TR"/>
        </w:rPr>
        <w:t>practical application rates</w:t>
      </w:r>
      <w:r w:rsidRPr="00CC1DC5">
        <w:rPr>
          <w:rFonts w:eastAsia="Times New Roman" w:cs="Times New Roman"/>
          <w:szCs w:val="20"/>
          <w:lang w:val="en-GB" w:eastAsia="tr-TR"/>
        </w:rPr>
        <w:t xml:space="preserve"> and the use of computers is limited. Li (2007) in his study </w:t>
      </w:r>
      <w:r>
        <w:rPr>
          <w:rFonts w:eastAsia="Times New Roman" w:cs="Times New Roman"/>
          <w:szCs w:val="20"/>
          <w:lang w:val="en-GB" w:eastAsia="tr-TR"/>
        </w:rPr>
        <w:t>with</w:t>
      </w:r>
      <w:r w:rsidRPr="00CC1DC5">
        <w:rPr>
          <w:rFonts w:eastAsia="Times New Roman" w:cs="Times New Roman"/>
          <w:szCs w:val="20"/>
          <w:lang w:val="en-GB" w:eastAsia="tr-TR"/>
        </w:rPr>
        <w:t xml:space="preserve"> mathematics and science </w:t>
      </w:r>
      <w:r w:rsidRPr="00CC1DC5">
        <w:rPr>
          <w:rFonts w:eastAsia="Times New Roman" w:cs="Times New Roman"/>
          <w:szCs w:val="20"/>
          <w:lang w:val="en-GB" w:eastAsia="tr-TR"/>
        </w:rPr>
        <w:lastRenderedPageBreak/>
        <w:t xml:space="preserve">teachers revealed that teachers have a negative attitude towards using technology </w:t>
      </w:r>
      <w:r>
        <w:rPr>
          <w:rFonts w:eastAsia="Times New Roman" w:cs="Times New Roman"/>
          <w:szCs w:val="20"/>
          <w:lang w:val="en-GB" w:eastAsia="tr-TR"/>
        </w:rPr>
        <w:t>at</w:t>
      </w:r>
      <w:r w:rsidRPr="00CC1DC5">
        <w:rPr>
          <w:rFonts w:eastAsia="Times New Roman" w:cs="Times New Roman"/>
          <w:szCs w:val="20"/>
          <w:lang w:val="en-GB" w:eastAsia="tr-TR"/>
        </w:rPr>
        <w:t xml:space="preserve"> school.</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When studies on proactive personality are examined, it is seen that there are very few studies in which proactive personalities of teachers are analysed (Erdogan &amp; Bauer, 2005; Li, Liu, Liu, &amp; Wang, 2017; Schwarzer, 1999; Yucel, Kocak, &amp; Cula, 2010). Erdogan and Bauer (2005)</w:t>
      </w:r>
      <w:r>
        <w:rPr>
          <w:rFonts w:eastAsia="Times New Roman" w:cs="Times New Roman"/>
          <w:szCs w:val="20"/>
          <w:lang w:val="en-GB" w:eastAsia="tr-TR"/>
        </w:rPr>
        <w:t xml:space="preserve">, </w:t>
      </w:r>
      <w:r w:rsidRPr="00CC1DC5">
        <w:rPr>
          <w:rFonts w:eastAsia="Times New Roman" w:cs="Times New Roman"/>
          <w:szCs w:val="20"/>
          <w:lang w:val="en-GB" w:eastAsia="tr-TR"/>
        </w:rPr>
        <w:t>in their study with teachers working in primary and secondary schools</w:t>
      </w:r>
      <w:r>
        <w:rPr>
          <w:rFonts w:eastAsia="Times New Roman" w:cs="Times New Roman"/>
          <w:szCs w:val="20"/>
          <w:lang w:val="en-GB" w:eastAsia="tr-TR"/>
        </w:rPr>
        <w:t>,</w:t>
      </w:r>
      <w:r w:rsidRPr="00CC1DC5">
        <w:rPr>
          <w:rFonts w:eastAsia="Times New Roman" w:cs="Times New Roman"/>
          <w:szCs w:val="20"/>
          <w:lang w:val="en-GB" w:eastAsia="tr-TR"/>
        </w:rPr>
        <w:t xml:space="preserve"> found that proactive personality and job satisfaction are high in </w:t>
      </w:r>
      <w:r>
        <w:rPr>
          <w:rFonts w:eastAsia="Times New Roman" w:cs="Times New Roman"/>
          <w:szCs w:val="20"/>
          <w:lang w:val="en-GB" w:eastAsia="tr-TR"/>
        </w:rPr>
        <w:t xml:space="preserve">the </w:t>
      </w:r>
      <w:r w:rsidRPr="00CC1DC5">
        <w:rPr>
          <w:rFonts w:eastAsia="Times New Roman" w:cs="Times New Roman"/>
          <w:szCs w:val="20"/>
          <w:lang w:val="en-GB" w:eastAsia="tr-TR"/>
        </w:rPr>
        <w:t xml:space="preserve">organizations </w:t>
      </w:r>
      <w:r>
        <w:rPr>
          <w:rFonts w:eastAsia="Times New Roman" w:cs="Times New Roman"/>
          <w:szCs w:val="20"/>
          <w:lang w:val="en-GB" w:eastAsia="tr-TR"/>
        </w:rPr>
        <w:t xml:space="preserve">where there is a high level of </w:t>
      </w:r>
      <w:r w:rsidRPr="00715969">
        <w:rPr>
          <w:rFonts w:eastAsia="Times New Roman" w:cs="Times New Roman"/>
          <w:szCs w:val="20"/>
          <w:lang w:val="en-GB" w:eastAsia="tr-TR"/>
        </w:rPr>
        <w:t>staff-organization harmony</w:t>
      </w:r>
      <w:r w:rsidRPr="00CC1DC5">
        <w:rPr>
          <w:rFonts w:eastAsia="Times New Roman" w:cs="Times New Roman"/>
          <w:szCs w:val="20"/>
          <w:lang w:val="en-GB" w:eastAsia="tr-TR"/>
        </w:rPr>
        <w:t xml:space="preserve">. In </w:t>
      </w:r>
      <w:r>
        <w:rPr>
          <w:rFonts w:eastAsia="Times New Roman" w:cs="Times New Roman"/>
          <w:szCs w:val="20"/>
          <w:lang w:val="en-GB" w:eastAsia="tr-TR"/>
        </w:rPr>
        <w:t xml:space="preserve">the study conducted </w:t>
      </w:r>
      <w:r w:rsidRPr="004B7647">
        <w:rPr>
          <w:rFonts w:eastAsia="Times New Roman" w:cs="Times New Roman"/>
          <w:szCs w:val="20"/>
          <w:lang w:val="en-GB" w:eastAsia="tr-TR"/>
        </w:rPr>
        <w:t xml:space="preserve">with teachers </w:t>
      </w:r>
      <w:r>
        <w:rPr>
          <w:rFonts w:eastAsia="Times New Roman" w:cs="Times New Roman"/>
          <w:szCs w:val="20"/>
          <w:lang w:val="en-GB" w:eastAsia="tr-TR"/>
        </w:rPr>
        <w:t xml:space="preserve">by </w:t>
      </w:r>
      <w:r w:rsidRPr="00CC1DC5">
        <w:rPr>
          <w:rFonts w:eastAsia="Times New Roman" w:cs="Times New Roman"/>
          <w:szCs w:val="20"/>
          <w:lang w:val="en-GB" w:eastAsia="tr-TR"/>
        </w:rPr>
        <w:t>Cerit and Akgun</w:t>
      </w:r>
      <w:r>
        <w:rPr>
          <w:rFonts w:eastAsia="Times New Roman" w:cs="Times New Roman"/>
          <w:szCs w:val="20"/>
          <w:lang w:val="en-GB" w:eastAsia="tr-TR"/>
        </w:rPr>
        <w:t xml:space="preserve"> (2013)</w:t>
      </w:r>
      <w:r w:rsidRPr="00CC1DC5">
        <w:rPr>
          <w:rFonts w:eastAsia="Times New Roman" w:cs="Times New Roman"/>
          <w:szCs w:val="20"/>
          <w:lang w:val="en-GB" w:eastAsia="tr-TR"/>
        </w:rPr>
        <w:t>,</w:t>
      </w:r>
      <w:r>
        <w:rPr>
          <w:rFonts w:eastAsia="Times New Roman" w:cs="Times New Roman"/>
          <w:szCs w:val="20"/>
          <w:lang w:val="en-GB" w:eastAsia="tr-TR"/>
        </w:rPr>
        <w:t xml:space="preserve"> proactive behavior levels of teachers</w:t>
      </w:r>
      <w:r w:rsidRPr="00CC1DC5">
        <w:rPr>
          <w:rFonts w:eastAsia="Times New Roman" w:cs="Times New Roman"/>
          <w:szCs w:val="20"/>
          <w:lang w:val="en-GB" w:eastAsia="tr-TR"/>
        </w:rPr>
        <w:t xml:space="preserve"> were found below medium. According to Cetin (2011), the level of proactive behavior of individuals </w:t>
      </w:r>
      <w:r>
        <w:rPr>
          <w:rFonts w:eastAsia="Times New Roman" w:cs="Times New Roman"/>
          <w:szCs w:val="20"/>
          <w:lang w:val="en-GB" w:eastAsia="tr-TR"/>
        </w:rPr>
        <w:t>having</w:t>
      </w:r>
      <w:r w:rsidRPr="00CC1DC5">
        <w:rPr>
          <w:rFonts w:eastAsia="Times New Roman" w:cs="Times New Roman"/>
          <w:szCs w:val="20"/>
          <w:lang w:val="en-GB" w:eastAsia="tr-TR"/>
        </w:rPr>
        <w:t xml:space="preserve"> high self-efficacy beliefs increases and they are more active in expanding their individual networks. Crant (2000) state</w:t>
      </w:r>
      <w:r>
        <w:rPr>
          <w:rFonts w:eastAsia="Times New Roman" w:cs="Times New Roman"/>
          <w:szCs w:val="20"/>
          <w:lang w:val="en-GB" w:eastAsia="tr-TR"/>
        </w:rPr>
        <w:t>d</w:t>
      </w:r>
      <w:r w:rsidRPr="00CC1DC5">
        <w:rPr>
          <w:rFonts w:eastAsia="Times New Roman" w:cs="Times New Roman"/>
          <w:szCs w:val="20"/>
          <w:lang w:val="en-GB" w:eastAsia="tr-TR"/>
        </w:rPr>
        <w:t xml:space="preserve"> that proactive behavior</w:t>
      </w:r>
      <w:r>
        <w:rPr>
          <w:rFonts w:eastAsia="Times New Roman" w:cs="Times New Roman"/>
          <w:szCs w:val="20"/>
          <w:lang w:val="en-GB" w:eastAsia="tr-TR"/>
        </w:rPr>
        <w:t xml:space="preserve"> leads to</w:t>
      </w:r>
      <w:r w:rsidRPr="00CC1DC5">
        <w:rPr>
          <w:rFonts w:eastAsia="Times New Roman" w:cs="Times New Roman"/>
          <w:szCs w:val="20"/>
          <w:lang w:val="en-GB" w:eastAsia="tr-TR"/>
        </w:rPr>
        <w:t xml:space="preserve"> an increase in organizational effectiveness. Bozbayındır and Alev (2017) reported a positive correlation between proactive personality and openness to change. In addition, Bozbaydır and Alev (2017) </w:t>
      </w:r>
      <w:r>
        <w:rPr>
          <w:rFonts w:eastAsia="Times New Roman" w:cs="Times New Roman"/>
          <w:szCs w:val="20"/>
          <w:lang w:val="en-GB" w:eastAsia="tr-TR"/>
        </w:rPr>
        <w:t>remarked</w:t>
      </w:r>
      <w:r w:rsidRPr="00CC1DC5">
        <w:rPr>
          <w:rFonts w:eastAsia="Times New Roman" w:cs="Times New Roman"/>
          <w:szCs w:val="20"/>
          <w:lang w:val="en-GB" w:eastAsia="tr-TR"/>
        </w:rPr>
        <w:t xml:space="preserve"> that </w:t>
      </w:r>
      <w:r>
        <w:rPr>
          <w:rFonts w:eastAsia="Times New Roman" w:cs="Times New Roman"/>
          <w:szCs w:val="20"/>
          <w:lang w:val="en-GB" w:eastAsia="tr-TR"/>
        </w:rPr>
        <w:t xml:space="preserve">persistence </w:t>
      </w:r>
      <w:r w:rsidRPr="00CC1DC5">
        <w:rPr>
          <w:rFonts w:eastAsia="Times New Roman" w:cs="Times New Roman"/>
          <w:szCs w:val="20"/>
          <w:lang w:val="en-GB" w:eastAsia="tr-TR"/>
        </w:rPr>
        <w:t xml:space="preserve">predicted proactive personality directly and significantly. Bledow and Frese (2009) </w:t>
      </w:r>
      <w:r>
        <w:rPr>
          <w:rFonts w:eastAsia="Times New Roman" w:cs="Times New Roman"/>
          <w:szCs w:val="20"/>
          <w:lang w:val="en-GB" w:eastAsia="tr-TR"/>
        </w:rPr>
        <w:t>noted</w:t>
      </w:r>
      <w:r w:rsidRPr="00CC1DC5">
        <w:rPr>
          <w:rFonts w:eastAsia="Times New Roman" w:cs="Times New Roman"/>
          <w:szCs w:val="20"/>
          <w:lang w:val="en-GB" w:eastAsia="tr-TR"/>
        </w:rPr>
        <w:t xml:space="preserve"> that higher self-efficacy leads to more proactive behavior. In line with the research conducted, teachers with proactive personality traits </w:t>
      </w:r>
      <w:r>
        <w:rPr>
          <w:rFonts w:eastAsia="Times New Roman" w:cs="Times New Roman"/>
          <w:szCs w:val="20"/>
          <w:lang w:val="en-GB" w:eastAsia="tr-TR"/>
        </w:rPr>
        <w:t>play a vital role</w:t>
      </w:r>
      <w:r w:rsidRPr="00CC1DC5">
        <w:rPr>
          <w:rFonts w:eastAsia="Times New Roman" w:cs="Times New Roman"/>
          <w:szCs w:val="20"/>
          <w:lang w:val="en-GB" w:eastAsia="tr-TR"/>
        </w:rPr>
        <w:t xml:space="preserve"> in the formation of effective school cultures as they will be more willing to help the school organizations to realize their goals, they will be more responsible in this regard and they will develop themselves further. Developments in technology have also led to the </w:t>
      </w:r>
      <w:r>
        <w:rPr>
          <w:rFonts w:eastAsia="Times New Roman" w:cs="Times New Roman"/>
          <w:szCs w:val="20"/>
          <w:lang w:val="en-GB" w:eastAsia="tr-TR"/>
        </w:rPr>
        <w:t>differentiation in</w:t>
      </w:r>
      <w:r w:rsidRPr="00CC1DC5">
        <w:rPr>
          <w:rFonts w:eastAsia="Times New Roman" w:cs="Times New Roman"/>
          <w:szCs w:val="20"/>
          <w:lang w:val="en-GB" w:eastAsia="tr-TR"/>
        </w:rPr>
        <w:t xml:space="preserve"> </w:t>
      </w:r>
      <w:r>
        <w:rPr>
          <w:rFonts w:eastAsia="Times New Roman" w:cs="Times New Roman"/>
          <w:szCs w:val="20"/>
          <w:lang w:val="en-GB" w:eastAsia="tr-TR"/>
        </w:rPr>
        <w:t xml:space="preserve">the roles of </w:t>
      </w:r>
      <w:r w:rsidRPr="00CC1DC5">
        <w:rPr>
          <w:rFonts w:eastAsia="Times New Roman" w:cs="Times New Roman"/>
          <w:szCs w:val="20"/>
          <w:lang w:val="en-GB" w:eastAsia="tr-TR"/>
        </w:rPr>
        <w:t>mathematics teachers</w:t>
      </w:r>
      <w:r>
        <w:rPr>
          <w:rFonts w:eastAsia="Times New Roman" w:cs="Times New Roman"/>
          <w:szCs w:val="20"/>
          <w:lang w:val="en-GB" w:eastAsia="tr-TR"/>
        </w:rPr>
        <w:t xml:space="preserve"> in teaching-learning environment</w:t>
      </w:r>
      <w:r w:rsidRPr="00CC1DC5">
        <w:rPr>
          <w:rFonts w:eastAsia="Times New Roman" w:cs="Times New Roman"/>
          <w:szCs w:val="20"/>
          <w:lang w:val="en-GB" w:eastAsia="tr-TR"/>
        </w:rPr>
        <w:t xml:space="preserve">. Mathematics teachers should not only know how to use computers, but also </w:t>
      </w:r>
      <w:r w:rsidRPr="00CC21B2">
        <w:rPr>
          <w:rFonts w:eastAsia="Times New Roman" w:cs="Times New Roman"/>
          <w:szCs w:val="20"/>
          <w:lang w:val="en-GB" w:eastAsia="tr-TR"/>
        </w:rPr>
        <w:t>effectively integrate technology into the learning process and create environments where students can make the most of technology.</w:t>
      </w:r>
      <w:r w:rsidRPr="00CC21B2" w:rsidDel="002E10C9">
        <w:rPr>
          <w:rFonts w:eastAsia="Times New Roman" w:cs="Times New Roman"/>
          <w:szCs w:val="20"/>
          <w:lang w:val="en-GB" w:eastAsia="tr-TR"/>
        </w:rPr>
        <w:t xml:space="preserve"> </w:t>
      </w:r>
      <w:r w:rsidRPr="00CC1DC5">
        <w:rPr>
          <w:rFonts w:eastAsia="Times New Roman" w:cs="Times New Roman"/>
          <w:szCs w:val="20"/>
          <w:lang w:val="en-GB" w:eastAsia="tr-TR"/>
        </w:rPr>
        <w:t>(Akpınar, 2003).</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Pr="000C4D2C" w:rsidRDefault="000C4D2C" w:rsidP="000C4D2C">
      <w:pPr>
        <w:widowControl w:val="0"/>
        <w:suppressAutoHyphens w:val="0"/>
        <w:spacing w:line="360" w:lineRule="auto"/>
        <w:rPr>
          <w:rFonts w:eastAsia="Times New Roman" w:cs="Times New Roman"/>
          <w:b/>
          <w:sz w:val="24"/>
          <w:szCs w:val="24"/>
          <w:lang w:val="en-GB" w:eastAsia="tr-TR"/>
        </w:rPr>
      </w:pPr>
      <w:r w:rsidRPr="000C4D2C">
        <w:rPr>
          <w:rFonts w:eastAsia="Times New Roman" w:cs="Times New Roman"/>
          <w:b/>
          <w:sz w:val="24"/>
          <w:szCs w:val="24"/>
          <w:lang w:val="en-GB" w:eastAsia="tr-TR"/>
        </w:rPr>
        <w:t>Why is Proactive Personality Important for Math Teachers?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szCs w:val="20"/>
          <w:lang w:val="en-GB"/>
        </w:rPr>
      </w:pPr>
      <w:r w:rsidRPr="00395FD2">
        <w:rPr>
          <w:szCs w:val="20"/>
          <w:lang w:val="en-GB"/>
        </w:rPr>
        <w:t>Proactivity is not a feature of people who criticize</w:t>
      </w:r>
      <w:r>
        <w:rPr>
          <w:szCs w:val="20"/>
          <w:lang w:val="en-GB"/>
        </w:rPr>
        <w:t>,</w:t>
      </w:r>
      <w:r w:rsidRPr="00395FD2">
        <w:rPr>
          <w:szCs w:val="20"/>
          <w:lang w:val="en-GB"/>
        </w:rPr>
        <w:t xml:space="preserve"> but do something for a solution, it is a feature of people </w:t>
      </w:r>
      <w:proofErr w:type="gramStart"/>
      <w:r w:rsidRPr="00395FD2">
        <w:rPr>
          <w:szCs w:val="20"/>
          <w:lang w:val="en-GB"/>
        </w:rPr>
        <w:t>who  guide</w:t>
      </w:r>
      <w:proofErr w:type="gramEnd"/>
      <w:r w:rsidRPr="00395FD2">
        <w:rPr>
          <w:szCs w:val="20"/>
          <w:lang w:val="en-GB"/>
        </w:rPr>
        <w:t>, try to be a part of the solution, focus on what they can do, are intrinsically motivated and not dependent on external factors by being in search of a</w:t>
      </w:r>
      <w:r>
        <w:rPr>
          <w:szCs w:val="20"/>
          <w:lang w:val="en-GB"/>
        </w:rPr>
        <w:t xml:space="preserve"> </w:t>
      </w:r>
      <w:r w:rsidRPr="00395FD2">
        <w:rPr>
          <w:szCs w:val="20"/>
          <w:lang w:val="en-GB"/>
        </w:rPr>
        <w:t xml:space="preserve">solution of the problems. </w:t>
      </w:r>
      <w:r w:rsidRPr="00CC1DC5">
        <w:rPr>
          <w:szCs w:val="20"/>
          <w:lang w:val="en-GB"/>
        </w:rPr>
        <w:t xml:space="preserve">Bateman and Crant (1993) </w:t>
      </w:r>
      <w:r>
        <w:rPr>
          <w:szCs w:val="20"/>
          <w:lang w:val="en-GB"/>
        </w:rPr>
        <w:t xml:space="preserve">highlighted the qualities of making efforts to achieve </w:t>
      </w:r>
      <w:r w:rsidRPr="00CC1DC5">
        <w:rPr>
          <w:szCs w:val="20"/>
          <w:lang w:val="en-GB"/>
        </w:rPr>
        <w:t>goal</w:t>
      </w:r>
      <w:r>
        <w:rPr>
          <w:szCs w:val="20"/>
          <w:lang w:val="en-GB"/>
        </w:rPr>
        <w:t>s</w:t>
      </w:r>
      <w:r w:rsidRPr="00CC1DC5">
        <w:rPr>
          <w:szCs w:val="20"/>
          <w:lang w:val="en-GB"/>
        </w:rPr>
        <w:t>, using initiative and chang</w:t>
      </w:r>
      <w:r>
        <w:rPr>
          <w:szCs w:val="20"/>
          <w:lang w:val="en-GB"/>
        </w:rPr>
        <w:t>ing something</w:t>
      </w:r>
      <w:r w:rsidRPr="00CC1DC5">
        <w:rPr>
          <w:szCs w:val="20"/>
          <w:lang w:val="en-GB"/>
        </w:rPr>
        <w:t>, while defining the characteristics of individuals with proactive personality in organizations (school, etc.). Covey (2004) state</w:t>
      </w:r>
      <w:r>
        <w:rPr>
          <w:szCs w:val="20"/>
          <w:lang w:val="en-GB"/>
        </w:rPr>
        <w:t>d</w:t>
      </w:r>
      <w:r w:rsidRPr="00CC1DC5">
        <w:rPr>
          <w:szCs w:val="20"/>
          <w:lang w:val="en-GB"/>
        </w:rPr>
        <w:t xml:space="preserve"> in his book </w:t>
      </w:r>
      <w:r>
        <w:rPr>
          <w:szCs w:val="20"/>
          <w:lang w:val="en-GB"/>
        </w:rPr>
        <w:t xml:space="preserve">entitled </w:t>
      </w:r>
      <w:r w:rsidRPr="00CC1DC5">
        <w:rPr>
          <w:szCs w:val="20"/>
          <w:lang w:val="en-GB"/>
        </w:rPr>
        <w:t xml:space="preserve">"The Seven Habits of Highly Effective People" that the first of seven habits of highly influential people is "being proactive." Scientific and technological changes cause major reform attempts in the design of learning environments. The support and commitment of the teacher to the process is very </w:t>
      </w:r>
      <w:r>
        <w:rPr>
          <w:szCs w:val="20"/>
          <w:lang w:val="en-GB"/>
        </w:rPr>
        <w:t>crucial</w:t>
      </w:r>
      <w:r w:rsidRPr="00CC1DC5">
        <w:rPr>
          <w:szCs w:val="20"/>
          <w:lang w:val="en-GB"/>
        </w:rPr>
        <w:t xml:space="preserve"> for these initiatives in education to produce effective results (Belschak, Den Hartog, &amp; Fay, 2010; Smith, 2015). Schools are assigned missions to carry out activities that require adapting to chang</w:t>
      </w:r>
      <w:r>
        <w:rPr>
          <w:szCs w:val="20"/>
          <w:lang w:val="en-GB"/>
        </w:rPr>
        <w:t>es</w:t>
      </w:r>
      <w:r w:rsidRPr="00CC1DC5">
        <w:rPr>
          <w:szCs w:val="20"/>
          <w:lang w:val="en-GB"/>
        </w:rPr>
        <w:t xml:space="preserve"> and developing conditions, and to meet expectations </w:t>
      </w:r>
      <w:r>
        <w:rPr>
          <w:szCs w:val="20"/>
          <w:lang w:val="en-GB"/>
        </w:rPr>
        <w:t xml:space="preserve">in view of </w:t>
      </w:r>
      <w:r w:rsidRPr="00CC1DC5">
        <w:rPr>
          <w:szCs w:val="20"/>
          <w:lang w:val="en-GB"/>
        </w:rPr>
        <w:t xml:space="preserve">increasing demands in a competitive environment (De Dreu, 2006; Organisation for Economic Cooperation and Development [OECD], 2006; Somech &amp; Wenderow, 2006). These missions </w:t>
      </w:r>
      <w:r>
        <w:rPr>
          <w:szCs w:val="20"/>
          <w:lang w:val="en-GB"/>
        </w:rPr>
        <w:t>require teachers</w:t>
      </w:r>
      <w:r w:rsidRPr="00CC1DC5">
        <w:rPr>
          <w:szCs w:val="20"/>
          <w:lang w:val="en-GB"/>
        </w:rPr>
        <w:t>, who are important elements of the school culture, to have high levels of proactive behavior (Canter &amp; Canter, 2001; DiPaolo &amp; Hoy, 2005).</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 xml:space="preserve">In the project titled as "Partnership for 21st Century Skills", implemented in 21 states in the USA and supported by 33 institutions with the participation of teachers, academics and business leaders, mathematics is considered </w:t>
      </w:r>
      <w:r w:rsidRPr="00CC1DC5">
        <w:rPr>
          <w:rFonts w:eastAsia="Times New Roman" w:cs="Times New Roman"/>
          <w:szCs w:val="20"/>
          <w:lang w:val="en-GB" w:eastAsia="tr-TR"/>
        </w:rPr>
        <w:lastRenderedPageBreak/>
        <w:t xml:space="preserve">as one of the main disciplines of the 21st century. The proactive structures of mathematics teachers who </w:t>
      </w:r>
      <w:r>
        <w:rPr>
          <w:rFonts w:eastAsia="Times New Roman" w:cs="Times New Roman"/>
          <w:szCs w:val="20"/>
          <w:lang w:val="en-GB" w:eastAsia="tr-TR"/>
        </w:rPr>
        <w:t xml:space="preserve">can </w:t>
      </w:r>
      <w:r w:rsidRPr="00CC1DC5">
        <w:rPr>
          <w:rFonts w:eastAsia="Times New Roman" w:cs="Times New Roman"/>
          <w:szCs w:val="20"/>
          <w:lang w:val="en-GB" w:eastAsia="tr-TR"/>
        </w:rPr>
        <w:t xml:space="preserve">design effective classroom environments are </w:t>
      </w:r>
      <w:r>
        <w:rPr>
          <w:rFonts w:eastAsia="Times New Roman" w:cs="Times New Roman"/>
          <w:szCs w:val="20"/>
          <w:lang w:val="en-GB" w:eastAsia="tr-TR"/>
        </w:rPr>
        <w:t>viewed as essential</w:t>
      </w:r>
      <w:r w:rsidRPr="00CC1DC5">
        <w:rPr>
          <w:rFonts w:eastAsia="Times New Roman" w:cs="Times New Roman"/>
          <w:szCs w:val="20"/>
          <w:lang w:val="en-GB" w:eastAsia="tr-TR"/>
        </w:rPr>
        <w:t xml:space="preserve"> for mathematics</w:t>
      </w:r>
      <w:r>
        <w:rPr>
          <w:rFonts w:eastAsia="Times New Roman" w:cs="Times New Roman"/>
          <w:szCs w:val="20"/>
          <w:lang w:val="en-GB" w:eastAsia="tr-TR"/>
        </w:rPr>
        <w:t xml:space="preserve"> lesson</w:t>
      </w:r>
      <w:r w:rsidRPr="00CC1DC5">
        <w:rPr>
          <w:rFonts w:eastAsia="Times New Roman" w:cs="Times New Roman"/>
          <w:szCs w:val="20"/>
          <w:lang w:val="en-GB" w:eastAsia="tr-TR"/>
        </w:rPr>
        <w:t>, which is one of the three main exam areas (reading, science and mathematics) in international exams such as PISA and TIMSS.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Proactive mathematics teachers can stand stronger in the face of uncertainties and changes and can participate effectively in the change process. As Frese and Fay (2001) stated, math teachers</w:t>
      </w:r>
      <w:r>
        <w:rPr>
          <w:rFonts w:eastAsia="Times New Roman" w:cs="Times New Roman"/>
          <w:szCs w:val="20"/>
          <w:lang w:val="en-GB" w:eastAsia="tr-TR"/>
        </w:rPr>
        <w:t xml:space="preserve"> with a </w:t>
      </w:r>
      <w:r w:rsidRPr="00CC1DC5">
        <w:rPr>
          <w:rFonts w:eastAsia="Times New Roman" w:cs="Times New Roman"/>
          <w:szCs w:val="20"/>
          <w:lang w:val="en-GB" w:eastAsia="tr-TR"/>
        </w:rPr>
        <w:t xml:space="preserve">proactive personality, who tend to evaluate opportunities, </w:t>
      </w:r>
      <w:proofErr w:type="gramStart"/>
      <w:r w:rsidRPr="00CC1DC5">
        <w:rPr>
          <w:rFonts w:eastAsia="Times New Roman" w:cs="Times New Roman"/>
          <w:szCs w:val="20"/>
          <w:lang w:val="en-GB" w:eastAsia="tr-TR"/>
        </w:rPr>
        <w:t>take action</w:t>
      </w:r>
      <w:proofErr w:type="gramEnd"/>
      <w:r w:rsidRPr="00CC1DC5">
        <w:rPr>
          <w:rFonts w:eastAsia="Times New Roman" w:cs="Times New Roman"/>
          <w:szCs w:val="20"/>
          <w:lang w:val="en-GB" w:eastAsia="tr-TR"/>
        </w:rPr>
        <w:t xml:space="preserve">, and work with determination until they get what they want, are of great importance in designing mathematics </w:t>
      </w:r>
      <w:r>
        <w:rPr>
          <w:rFonts w:eastAsia="Times New Roman" w:cs="Times New Roman"/>
          <w:szCs w:val="20"/>
          <w:lang w:val="en-GB" w:eastAsia="tr-TR"/>
        </w:rPr>
        <w:t>teaching-</w:t>
      </w:r>
      <w:r w:rsidRPr="00CC1DC5">
        <w:rPr>
          <w:rFonts w:eastAsia="Times New Roman" w:cs="Times New Roman"/>
          <w:szCs w:val="20"/>
          <w:lang w:val="en-GB" w:eastAsia="tr-TR"/>
        </w:rPr>
        <w:t xml:space="preserve">learning processes effectively. Similarly, Fuller and Marler (2009) </w:t>
      </w:r>
      <w:r>
        <w:rPr>
          <w:rFonts w:eastAsia="Times New Roman" w:cs="Times New Roman"/>
          <w:szCs w:val="20"/>
          <w:lang w:val="en-GB" w:eastAsia="tr-TR"/>
        </w:rPr>
        <w:t>stressed</w:t>
      </w:r>
      <w:r w:rsidRPr="00CC1DC5">
        <w:rPr>
          <w:rFonts w:eastAsia="Times New Roman" w:cs="Times New Roman"/>
          <w:szCs w:val="20"/>
          <w:lang w:val="en-GB" w:eastAsia="tr-TR"/>
        </w:rPr>
        <w:t xml:space="preserve"> that proactive personality and professional performance are in a positive relationship. Bandura's theory of mutual determination, Kanfer's self-regulation theory and Flavell's metacognition approach emphasize the regulation of the learning process and so</w:t>
      </w:r>
      <w:r>
        <w:rPr>
          <w:rFonts w:eastAsia="Times New Roman" w:cs="Times New Roman"/>
          <w:szCs w:val="20"/>
          <w:lang w:val="en-GB" w:eastAsia="tr-TR"/>
        </w:rPr>
        <w:t xml:space="preserve">cial environment of individuals. </w:t>
      </w:r>
      <w:r w:rsidRPr="00CC1DC5">
        <w:rPr>
          <w:rFonts w:eastAsia="Times New Roman" w:cs="Times New Roman"/>
          <w:szCs w:val="20"/>
          <w:lang w:val="en-GB" w:eastAsia="tr-TR"/>
        </w:rPr>
        <w:t>This is in line with the behavior of proactive mathematics teachers. Li et al. (2017) reveal</w:t>
      </w:r>
      <w:r>
        <w:rPr>
          <w:rFonts w:eastAsia="Times New Roman" w:cs="Times New Roman"/>
          <w:szCs w:val="20"/>
          <w:lang w:val="en-GB" w:eastAsia="tr-TR"/>
        </w:rPr>
        <w:t>ed</w:t>
      </w:r>
      <w:r w:rsidRPr="00CC1DC5">
        <w:rPr>
          <w:rFonts w:eastAsia="Times New Roman" w:cs="Times New Roman"/>
          <w:szCs w:val="20"/>
          <w:lang w:val="en-GB" w:eastAsia="tr-TR"/>
        </w:rPr>
        <w:t xml:space="preserve"> that there is a significant relationship between proactive personality and teachers' innovative work behaviors, and proactive personality positively affects innovative work behaviors. In other words, proactive math teachers are open to innovations in math learning environments.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In Realistic Mathematics Education (RME) approach developed by Treffers (1987; 1991) and Freudenthal (1991), there are six basic principles to guide teachers while organizing the learning process (Van den Heuvel-Panhuizen &amp; Drijvers, 2014). These are</w:t>
      </w:r>
      <w:r>
        <w:rPr>
          <w:rFonts w:eastAsia="Times New Roman" w:cs="Times New Roman"/>
          <w:szCs w:val="20"/>
          <w:lang w:val="en-GB" w:eastAsia="tr-TR"/>
        </w:rPr>
        <w:t xml:space="preserve"> as follows:</w:t>
      </w:r>
      <w:r w:rsidRPr="00CC1DC5">
        <w:rPr>
          <w:rFonts w:eastAsia="Times New Roman" w:cs="Times New Roman"/>
          <w:szCs w:val="20"/>
          <w:lang w:val="en-GB" w:eastAsia="tr-TR"/>
        </w:rPr>
        <w:t xml:space="preserve"> (1) </w:t>
      </w:r>
      <w:r w:rsidRPr="006335A5">
        <w:rPr>
          <w:rFonts w:eastAsia="Times New Roman" w:cs="Times New Roman"/>
          <w:szCs w:val="20"/>
          <w:lang w:val="en-GB" w:eastAsia="tr-TR"/>
        </w:rPr>
        <w:t>Reality, (2) Intertwinement, (3) Guidance, (4) Activity, (5) Level, (6) Interactivity. In line with the principles of didactic phenomenology in mathematics learning supported by RME, what is expected from mathematics teachers is to guide students to reach a solution or concept by leading them</w:t>
      </w:r>
      <w:r>
        <w:rPr>
          <w:rFonts w:eastAsia="Times New Roman" w:cs="Times New Roman"/>
          <w:szCs w:val="20"/>
          <w:lang w:val="en-GB" w:eastAsia="tr-TR"/>
        </w:rPr>
        <w:t xml:space="preserve"> </w:t>
      </w:r>
      <w:r w:rsidRPr="006335A5">
        <w:rPr>
          <w:rFonts w:eastAsia="Times New Roman" w:cs="Times New Roman"/>
          <w:szCs w:val="20"/>
          <w:lang w:val="en-GB" w:eastAsia="tr-TR"/>
        </w:rPr>
        <w:t xml:space="preserve">through interdisciplinary real-life problems. Van den Heuvel-Panhuizen and Drijvers (2014) emphasized in the RME approach that mathematics teachers should have proactive skills and the potential to steer this by predicting the situations to be experienced in the </w:t>
      </w:r>
      <w:proofErr w:type="gramStart"/>
      <w:r w:rsidRPr="006335A5">
        <w:rPr>
          <w:rFonts w:eastAsia="Times New Roman" w:cs="Times New Roman"/>
          <w:szCs w:val="20"/>
          <w:lang w:val="en-GB" w:eastAsia="tr-TR"/>
        </w:rPr>
        <w:t>problem solving</w:t>
      </w:r>
      <w:proofErr w:type="gramEnd"/>
      <w:r w:rsidRPr="006335A5">
        <w:rPr>
          <w:rFonts w:eastAsia="Times New Roman" w:cs="Times New Roman"/>
          <w:szCs w:val="20"/>
          <w:lang w:val="en-GB" w:eastAsia="tr-TR"/>
        </w:rPr>
        <w:t xml:space="preserve"> process.</w:t>
      </w:r>
      <w:r>
        <w:rPr>
          <w:rFonts w:eastAsia="Times New Roman" w:cs="Times New Roman"/>
          <w:szCs w:val="20"/>
          <w:lang w:val="en-GB" w:eastAsia="tr-TR"/>
        </w:rPr>
        <w:t xml:space="preserve"> </w:t>
      </w:r>
      <w:r w:rsidRPr="00CC1DC5">
        <w:rPr>
          <w:rFonts w:eastAsia="Times New Roman" w:cs="Times New Roman"/>
          <w:szCs w:val="20"/>
          <w:lang w:val="en-GB" w:eastAsia="tr-TR"/>
        </w:rPr>
        <w:t xml:space="preserve">Wagner (2008) </w:t>
      </w:r>
      <w:r>
        <w:rPr>
          <w:rFonts w:eastAsia="Times New Roman" w:cs="Times New Roman"/>
          <w:szCs w:val="20"/>
          <w:lang w:val="en-GB" w:eastAsia="tr-TR"/>
        </w:rPr>
        <w:t>maintained</w:t>
      </w:r>
      <w:r w:rsidRPr="00CC1DC5">
        <w:rPr>
          <w:rFonts w:eastAsia="Times New Roman" w:cs="Times New Roman"/>
          <w:szCs w:val="20"/>
          <w:lang w:val="en-GB" w:eastAsia="tr-TR"/>
        </w:rPr>
        <w:t xml:space="preserve"> that there are seven basic skills needed in the 21st century and one of them is entrepreneurship. Being an entrepreneur is one of the basic proactive behavior</w:t>
      </w:r>
      <w:r>
        <w:rPr>
          <w:rFonts w:eastAsia="Times New Roman" w:cs="Times New Roman"/>
          <w:szCs w:val="20"/>
          <w:lang w:val="en-GB" w:eastAsia="tr-TR"/>
        </w:rPr>
        <w:t>s</w:t>
      </w:r>
      <w:r w:rsidRPr="00CC1DC5">
        <w:rPr>
          <w:rFonts w:eastAsia="Times New Roman" w:cs="Times New Roman"/>
          <w:szCs w:val="20"/>
          <w:lang w:val="en-GB" w:eastAsia="tr-TR"/>
        </w:rPr>
        <w:t>. The above</w:t>
      </w:r>
      <w:r>
        <w:rPr>
          <w:rFonts w:eastAsia="Times New Roman" w:cs="Times New Roman"/>
          <w:szCs w:val="20"/>
          <w:lang w:val="en-GB" w:eastAsia="tr-TR"/>
        </w:rPr>
        <w:t>mentioned</w:t>
      </w:r>
      <w:r w:rsidRPr="00CC1DC5">
        <w:rPr>
          <w:rFonts w:eastAsia="Times New Roman" w:cs="Times New Roman"/>
          <w:szCs w:val="20"/>
          <w:lang w:val="en-GB" w:eastAsia="tr-TR"/>
        </w:rPr>
        <w:t xml:space="preserve"> studies </w:t>
      </w:r>
      <w:r>
        <w:rPr>
          <w:rFonts w:eastAsia="Times New Roman" w:cs="Times New Roman"/>
          <w:szCs w:val="20"/>
          <w:lang w:val="en-GB" w:eastAsia="tr-TR"/>
        </w:rPr>
        <w:t>indicate</w:t>
      </w:r>
      <w:r w:rsidRPr="00CC1DC5">
        <w:rPr>
          <w:rFonts w:eastAsia="Times New Roman" w:cs="Times New Roman"/>
          <w:szCs w:val="20"/>
          <w:lang w:val="en-GB" w:eastAsia="tr-TR"/>
        </w:rPr>
        <w:t xml:space="preserve"> that being proactive is one </w:t>
      </w:r>
      <w:r>
        <w:rPr>
          <w:rFonts w:eastAsia="Times New Roman" w:cs="Times New Roman"/>
          <w:szCs w:val="20"/>
          <w:lang w:val="en-GB" w:eastAsia="tr-TR"/>
        </w:rPr>
        <w:t>essential competency of</w:t>
      </w:r>
      <w:r w:rsidRPr="00CC1DC5">
        <w:rPr>
          <w:rFonts w:eastAsia="Times New Roman" w:cs="Times New Roman"/>
          <w:szCs w:val="20"/>
          <w:lang w:val="en-GB" w:eastAsia="tr-TR"/>
        </w:rPr>
        <w:t xml:space="preserve"> mathematics teacher</w:t>
      </w:r>
      <w:r>
        <w:rPr>
          <w:rFonts w:eastAsia="Times New Roman" w:cs="Times New Roman"/>
          <w:szCs w:val="20"/>
          <w:lang w:val="en-GB" w:eastAsia="tr-TR"/>
        </w:rPr>
        <w:t>s</w:t>
      </w:r>
      <w:r w:rsidRPr="00CC1DC5">
        <w:rPr>
          <w:rFonts w:eastAsia="Times New Roman" w:cs="Times New Roman"/>
          <w:szCs w:val="20"/>
          <w:lang w:val="en-GB" w:eastAsia="tr-TR"/>
        </w:rPr>
        <w:t xml:space="preserve"> in the 21st century.</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Pr="000C4D2C" w:rsidRDefault="000C4D2C" w:rsidP="000C4D2C">
      <w:pPr>
        <w:widowControl w:val="0"/>
        <w:suppressAutoHyphens w:val="0"/>
        <w:spacing w:line="360" w:lineRule="auto"/>
        <w:rPr>
          <w:rFonts w:eastAsia="Times New Roman" w:cs="Times New Roman"/>
          <w:b/>
          <w:sz w:val="24"/>
          <w:szCs w:val="24"/>
          <w:lang w:val="en-GB" w:eastAsia="tr-TR"/>
        </w:rPr>
      </w:pPr>
      <w:r w:rsidRPr="000C4D2C">
        <w:rPr>
          <w:rFonts w:eastAsia="Times New Roman" w:cs="Times New Roman"/>
          <w:b/>
          <w:sz w:val="24"/>
          <w:szCs w:val="24"/>
          <w:lang w:val="en-GB" w:eastAsia="tr-TR"/>
        </w:rPr>
        <w:t>Why Technology Literacy is Important for Math Teachers?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 xml:space="preserve">One of the </w:t>
      </w:r>
      <w:r>
        <w:rPr>
          <w:rFonts w:eastAsia="Times New Roman" w:cs="Times New Roman"/>
          <w:szCs w:val="20"/>
          <w:lang w:val="en-GB" w:eastAsia="tr-TR"/>
        </w:rPr>
        <w:t xml:space="preserve">major </w:t>
      </w:r>
      <w:r w:rsidRPr="00CC1DC5">
        <w:rPr>
          <w:rFonts w:eastAsia="Times New Roman" w:cs="Times New Roman"/>
          <w:szCs w:val="20"/>
          <w:lang w:val="en-GB" w:eastAsia="tr-TR"/>
        </w:rPr>
        <w:t>goals of teaching today is to create a technolog</w:t>
      </w:r>
      <w:r>
        <w:rPr>
          <w:rFonts w:eastAsia="Times New Roman" w:cs="Times New Roman"/>
          <w:szCs w:val="20"/>
          <w:lang w:val="en-GB" w:eastAsia="tr-TR"/>
        </w:rPr>
        <w:t>ically</w:t>
      </w:r>
      <w:r w:rsidRPr="00CC1DC5">
        <w:rPr>
          <w:rFonts w:eastAsia="Times New Roman" w:cs="Times New Roman"/>
          <w:szCs w:val="20"/>
          <w:lang w:val="en-GB" w:eastAsia="tr-TR"/>
        </w:rPr>
        <w:t xml:space="preserve"> literate society (Lee, 2004). Trilling and Fadel (2009) emphasize</w:t>
      </w:r>
      <w:r>
        <w:rPr>
          <w:rFonts w:eastAsia="Times New Roman" w:cs="Times New Roman"/>
          <w:szCs w:val="20"/>
          <w:lang w:val="en-GB" w:eastAsia="tr-TR"/>
        </w:rPr>
        <w:t>d</w:t>
      </w:r>
      <w:r w:rsidRPr="00CC1DC5">
        <w:rPr>
          <w:rFonts w:eastAsia="Times New Roman" w:cs="Times New Roman"/>
          <w:szCs w:val="20"/>
          <w:lang w:val="en-GB" w:eastAsia="tr-TR"/>
        </w:rPr>
        <w:t xml:space="preserve"> digital literacy, which is an </w:t>
      </w:r>
      <w:r>
        <w:rPr>
          <w:rFonts w:eastAsia="Times New Roman" w:cs="Times New Roman"/>
          <w:szCs w:val="20"/>
          <w:lang w:val="en-GB" w:eastAsia="tr-TR"/>
        </w:rPr>
        <w:t>indispensable</w:t>
      </w:r>
      <w:r w:rsidRPr="00CC1DC5">
        <w:rPr>
          <w:rFonts w:eastAsia="Times New Roman" w:cs="Times New Roman"/>
          <w:szCs w:val="20"/>
          <w:lang w:val="en-GB" w:eastAsia="tr-TR"/>
        </w:rPr>
        <w:t xml:space="preserve"> part of technology literacy, as a 21st century teacher and student skill. Wolfinger (2000) and the American National Resarch Council (1996) argue</w:t>
      </w:r>
      <w:r>
        <w:rPr>
          <w:rFonts w:eastAsia="Times New Roman" w:cs="Times New Roman"/>
          <w:szCs w:val="20"/>
          <w:lang w:val="en-GB" w:eastAsia="tr-TR"/>
        </w:rPr>
        <w:t>d</w:t>
      </w:r>
      <w:r w:rsidRPr="00CC1DC5">
        <w:rPr>
          <w:rFonts w:eastAsia="Times New Roman" w:cs="Times New Roman"/>
          <w:szCs w:val="20"/>
          <w:lang w:val="en-GB" w:eastAsia="tr-TR"/>
        </w:rPr>
        <w:t xml:space="preserve"> that teachers play an important role in training children as technolog</w:t>
      </w:r>
      <w:r>
        <w:rPr>
          <w:rFonts w:eastAsia="Times New Roman" w:cs="Times New Roman"/>
          <w:szCs w:val="20"/>
          <w:lang w:val="en-GB" w:eastAsia="tr-TR"/>
        </w:rPr>
        <w:t>ically</w:t>
      </w:r>
      <w:r w:rsidRPr="00CC1DC5">
        <w:rPr>
          <w:rFonts w:eastAsia="Times New Roman" w:cs="Times New Roman"/>
          <w:szCs w:val="20"/>
          <w:lang w:val="en-GB" w:eastAsia="tr-TR"/>
        </w:rPr>
        <w:t xml:space="preserve"> literate individuals. It also encourages science, technology and mathematics teachers to demonstrate skills such as scientific scepticism, being open</w:t>
      </w:r>
      <w:r>
        <w:rPr>
          <w:rFonts w:eastAsia="Times New Roman" w:cs="Times New Roman"/>
          <w:szCs w:val="20"/>
          <w:lang w:val="en-GB" w:eastAsia="tr-TR"/>
        </w:rPr>
        <w:t xml:space="preserve"> to</w:t>
      </w:r>
      <w:r w:rsidRPr="00CC1DC5">
        <w:rPr>
          <w:rFonts w:eastAsia="Times New Roman" w:cs="Times New Roman"/>
          <w:szCs w:val="20"/>
          <w:lang w:val="en-GB" w:eastAsia="tr-TR"/>
        </w:rPr>
        <w:t xml:space="preserve"> and curious about new ideas, as a model in </w:t>
      </w:r>
      <w:r>
        <w:rPr>
          <w:rFonts w:eastAsia="Times New Roman" w:cs="Times New Roman"/>
          <w:szCs w:val="20"/>
          <w:lang w:val="en-GB" w:eastAsia="tr-TR"/>
        </w:rPr>
        <w:t>teaching-</w:t>
      </w:r>
      <w:r w:rsidRPr="00CC1DC5">
        <w:rPr>
          <w:rFonts w:eastAsia="Times New Roman" w:cs="Times New Roman"/>
          <w:szCs w:val="20"/>
          <w:lang w:val="en-GB" w:eastAsia="tr-TR"/>
        </w:rPr>
        <w:t>learning processes. Learning environments need to be changed and developed in line with technological developments. Technology literacy and technology-supported environments which offer rich environments in the learning process are necessities for all teachers (Prevenzo, Brett, &amp; McCloskey, 1999).</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Shulman's (1986) “Pedagogical Content Knowledge” learning approach has be</w:t>
      </w:r>
      <w:r>
        <w:rPr>
          <w:rFonts w:eastAsia="Times New Roman" w:cs="Times New Roman"/>
          <w:szCs w:val="20"/>
          <w:lang w:val="en-GB" w:eastAsia="tr-TR"/>
        </w:rPr>
        <w:t>en</w:t>
      </w:r>
      <w:r w:rsidRPr="00CC1DC5">
        <w:rPr>
          <w:rFonts w:eastAsia="Times New Roman" w:cs="Times New Roman"/>
          <w:szCs w:val="20"/>
          <w:lang w:val="en-GB" w:eastAsia="tr-TR"/>
        </w:rPr>
        <w:t xml:space="preserve"> updated </w:t>
      </w:r>
      <w:r>
        <w:rPr>
          <w:rFonts w:eastAsia="Times New Roman" w:cs="Times New Roman"/>
          <w:szCs w:val="20"/>
          <w:lang w:val="en-GB" w:eastAsia="tr-TR"/>
        </w:rPr>
        <w:t>as</w:t>
      </w:r>
      <w:r w:rsidRPr="00CC1DC5">
        <w:rPr>
          <w:rFonts w:eastAsia="Times New Roman" w:cs="Times New Roman"/>
          <w:szCs w:val="20"/>
          <w:lang w:val="en-GB" w:eastAsia="tr-TR"/>
        </w:rPr>
        <w:t xml:space="preserve"> the Technological </w:t>
      </w:r>
      <w:r w:rsidRPr="00CC1DC5">
        <w:rPr>
          <w:rFonts w:eastAsia="Times New Roman" w:cs="Times New Roman"/>
          <w:szCs w:val="20"/>
          <w:lang w:val="en-GB" w:eastAsia="tr-TR"/>
        </w:rPr>
        <w:lastRenderedPageBreak/>
        <w:t>Pedagogical Content Knowledge [TPCK] learning approach today by Mishra &amp; Koehler (2006) and Koehler &amp; Mishra (2008). TPCK learning approach shows that technology knowledge of mathematics teachers is also very important for mathematics learning environments. In the TPCK learning approach, it is stated that technology is integrated with pedagogical and field knowledge, and th</w:t>
      </w:r>
      <w:r>
        <w:rPr>
          <w:rFonts w:eastAsia="Times New Roman" w:cs="Times New Roman"/>
          <w:szCs w:val="20"/>
          <w:lang w:val="en-GB" w:eastAsia="tr-TR"/>
        </w:rPr>
        <w:t>ese</w:t>
      </w:r>
      <w:r w:rsidRPr="00CC1DC5">
        <w:rPr>
          <w:rFonts w:eastAsia="Times New Roman" w:cs="Times New Roman"/>
          <w:szCs w:val="20"/>
          <w:lang w:val="en-GB" w:eastAsia="tr-TR"/>
        </w:rPr>
        <w:t xml:space="preserve"> three</w:t>
      </w:r>
      <w:r>
        <w:rPr>
          <w:rFonts w:eastAsia="Times New Roman" w:cs="Times New Roman"/>
          <w:szCs w:val="20"/>
          <w:lang w:val="en-GB" w:eastAsia="tr-TR"/>
        </w:rPr>
        <w:t xml:space="preserve"> types of</w:t>
      </w:r>
      <w:r w:rsidRPr="00CC1DC5">
        <w:rPr>
          <w:rFonts w:eastAsia="Times New Roman" w:cs="Times New Roman"/>
          <w:szCs w:val="20"/>
          <w:lang w:val="en-GB" w:eastAsia="tr-TR"/>
        </w:rPr>
        <w:t xml:space="preserve"> information affect each other</w:t>
      </w:r>
      <w:r>
        <w:rPr>
          <w:rFonts w:eastAsia="Times New Roman" w:cs="Times New Roman"/>
          <w:szCs w:val="20"/>
          <w:lang w:val="en-GB" w:eastAsia="tr-TR"/>
        </w:rPr>
        <w:t>,</w:t>
      </w:r>
      <w:r w:rsidRPr="00CC1DC5">
        <w:rPr>
          <w:rFonts w:eastAsia="Times New Roman" w:cs="Times New Roman"/>
          <w:szCs w:val="20"/>
          <w:lang w:val="en-GB" w:eastAsia="tr-TR"/>
        </w:rPr>
        <w:t xml:space="preserve"> and provide an opportunity for more effective learning process (Angeli &amp; Valanides 2009; Graham, Burgoyne, Cantrell, Smith, Clair, &amp; Harris, 2009; Mishra &amp; Koehler, 2006). Leatham (2007), Hastings (2009) and Wachira &amp; Keengwe (2011) </w:t>
      </w:r>
      <w:r>
        <w:rPr>
          <w:rFonts w:eastAsia="Times New Roman" w:cs="Times New Roman"/>
          <w:szCs w:val="20"/>
          <w:lang w:val="en-GB" w:eastAsia="tr-TR"/>
        </w:rPr>
        <w:t>regarded</w:t>
      </w:r>
      <w:r w:rsidRPr="00CC1DC5">
        <w:rPr>
          <w:rFonts w:eastAsia="Times New Roman" w:cs="Times New Roman"/>
          <w:szCs w:val="20"/>
          <w:lang w:val="en-GB" w:eastAsia="tr-TR"/>
        </w:rPr>
        <w:t xml:space="preserve"> the lack of knowledge and self-confidence in using technology in mathematics learning as one of the barriers of mathematics teac</w:t>
      </w:r>
      <w:r>
        <w:rPr>
          <w:rFonts w:eastAsia="Times New Roman" w:cs="Times New Roman"/>
          <w:szCs w:val="20"/>
          <w:lang w:val="en-GB" w:eastAsia="tr-TR"/>
        </w:rPr>
        <w:t xml:space="preserve">hers in technology integration. </w:t>
      </w:r>
      <w:r w:rsidRPr="00CC1DC5">
        <w:rPr>
          <w:rFonts w:eastAsia="Times New Roman" w:cs="Times New Roman"/>
          <w:szCs w:val="20"/>
          <w:lang w:val="en-GB" w:eastAsia="tr-TR"/>
        </w:rPr>
        <w:t xml:space="preserve">Research </w:t>
      </w:r>
      <w:r>
        <w:rPr>
          <w:rFonts w:eastAsia="Times New Roman" w:cs="Times New Roman"/>
          <w:szCs w:val="20"/>
          <w:lang w:val="en-GB" w:eastAsia="tr-TR"/>
        </w:rPr>
        <w:t xml:space="preserve">indicates </w:t>
      </w:r>
      <w:r w:rsidRPr="00CC1DC5">
        <w:rPr>
          <w:rFonts w:eastAsia="Times New Roman" w:cs="Times New Roman"/>
          <w:szCs w:val="20"/>
          <w:lang w:val="en-GB" w:eastAsia="tr-TR"/>
        </w:rPr>
        <w:t>that mathematics teachers should be technolog</w:t>
      </w:r>
      <w:r>
        <w:rPr>
          <w:rFonts w:eastAsia="Times New Roman" w:cs="Times New Roman"/>
          <w:szCs w:val="20"/>
          <w:lang w:val="en-GB" w:eastAsia="tr-TR"/>
        </w:rPr>
        <w:t>ically</w:t>
      </w:r>
      <w:r w:rsidRPr="00CC1DC5">
        <w:rPr>
          <w:rFonts w:eastAsia="Times New Roman" w:cs="Times New Roman"/>
          <w:szCs w:val="20"/>
          <w:lang w:val="en-GB" w:eastAsia="tr-TR"/>
        </w:rPr>
        <w:t xml:space="preserve"> literate in </w:t>
      </w:r>
      <w:r>
        <w:rPr>
          <w:rFonts w:eastAsia="Times New Roman" w:cs="Times New Roman"/>
          <w:szCs w:val="20"/>
          <w:lang w:val="en-GB" w:eastAsia="tr-TR"/>
        </w:rPr>
        <w:t xml:space="preserve">the </w:t>
      </w:r>
      <w:r w:rsidRPr="00CC1DC5">
        <w:rPr>
          <w:rFonts w:eastAsia="Times New Roman" w:cs="Times New Roman"/>
          <w:szCs w:val="20"/>
          <w:lang w:val="en-GB" w:eastAsia="tr-TR"/>
        </w:rPr>
        <w:t>21st century.</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shd w:val="clear" w:color="auto" w:fill="F8F9FA"/>
          <w:lang w:val="en-GB" w:eastAsia="tr-TR"/>
        </w:rPr>
      </w:pPr>
      <w:r w:rsidRPr="00972B4E">
        <w:rPr>
          <w:rFonts w:eastAsia="Times New Roman" w:cs="Times New Roman"/>
          <w:szCs w:val="20"/>
          <w:shd w:val="clear" w:color="auto" w:fill="F8F9FA"/>
          <w:lang w:val="en-GB" w:eastAsia="tr-TR"/>
        </w:rPr>
        <w:t>Lingefjärd (2000), Hıdıroğlu and Bukova Guzel (2017</w:t>
      </w:r>
      <w:proofErr w:type="gramStart"/>
      <w:r w:rsidRPr="00972B4E">
        <w:rPr>
          <w:rFonts w:eastAsia="Times New Roman" w:cs="Times New Roman"/>
          <w:szCs w:val="20"/>
          <w:shd w:val="clear" w:color="auto" w:fill="F8F9FA"/>
          <w:lang w:val="en-GB" w:eastAsia="tr-TR"/>
        </w:rPr>
        <w:t>)  revealed</w:t>
      </w:r>
      <w:proofErr w:type="gramEnd"/>
      <w:r w:rsidRPr="00972B4E">
        <w:rPr>
          <w:rFonts w:eastAsia="Times New Roman" w:cs="Times New Roman"/>
          <w:szCs w:val="20"/>
          <w:shd w:val="clear" w:color="auto" w:fill="F8F9FA"/>
          <w:lang w:val="en-GB" w:eastAsia="tr-TR"/>
        </w:rPr>
        <w:t xml:space="preserve"> the active role of technology in the mathematical modeling assisted learning process, taking into account the positive opinions regarding the use of technology in mathematics education. Dynamic mathematics and geometry software used in the process of learning mathematics serve as a bridge in establishing relationships between geometric and algebraic representations (Hıdıroğlu &amp; Bukova Guzel, 2014). Hohenwarter, Hohenwarter, Kreis &amp; Lavicza, (2008) and Galbraith &amp; Stillman (2006) also mentioned that mathematics teachers need to integrate dynamic mathematics and geometry software effectively in order to create more quality teaching/learning environments. Hıdıroğlu and Özkan Hıdıroğlu (2016) underlined that HTTM (History / Theory / Technology / Modeling) mathematics learning process plays an important role in developing computer software, video, animation and photographs, developing mental skills and supporting conceptual learning. It is also emphasized that mathematics teachers should be prepared for all the different scenarios that may arise during the HTTM learning process. This is a key factor for mathematics teachers both in creating an effective </w:t>
      </w:r>
      <w:r>
        <w:rPr>
          <w:rFonts w:eastAsia="Times New Roman" w:cs="Times New Roman"/>
          <w:szCs w:val="20"/>
          <w:shd w:val="clear" w:color="auto" w:fill="F8F9FA"/>
          <w:lang w:val="en-GB" w:eastAsia="tr-TR"/>
        </w:rPr>
        <w:t>teaching-</w:t>
      </w:r>
      <w:r w:rsidRPr="00972B4E">
        <w:rPr>
          <w:rFonts w:eastAsia="Times New Roman" w:cs="Times New Roman"/>
          <w:szCs w:val="20"/>
          <w:shd w:val="clear" w:color="auto" w:fill="F8F9FA"/>
          <w:lang w:val="en-GB" w:eastAsia="tr-TR"/>
        </w:rPr>
        <w:t xml:space="preserve">learning process and in </w:t>
      </w:r>
      <w:r>
        <w:rPr>
          <w:rFonts w:eastAsia="Times New Roman" w:cs="Times New Roman"/>
          <w:szCs w:val="20"/>
          <w:shd w:val="clear" w:color="auto" w:fill="F8F9FA"/>
          <w:lang w:val="en-GB" w:eastAsia="tr-TR"/>
        </w:rPr>
        <w:t xml:space="preserve">making better evaluations of </w:t>
      </w:r>
      <w:r w:rsidRPr="00972B4E">
        <w:rPr>
          <w:rFonts w:eastAsia="Times New Roman" w:cs="Times New Roman"/>
          <w:szCs w:val="20"/>
          <w:shd w:val="clear" w:color="auto" w:fill="F8F9FA"/>
          <w:lang w:val="en-GB" w:eastAsia="tr-TR"/>
        </w:rPr>
        <w:t>student</w:t>
      </w:r>
      <w:r>
        <w:rPr>
          <w:rFonts w:eastAsia="Times New Roman" w:cs="Times New Roman"/>
          <w:szCs w:val="20"/>
          <w:shd w:val="clear" w:color="auto" w:fill="F8F9FA"/>
          <w:lang w:val="en-GB" w:eastAsia="tr-TR"/>
        </w:rPr>
        <w:t xml:space="preserve">s </w:t>
      </w:r>
      <w:r w:rsidRPr="00972B4E">
        <w:rPr>
          <w:rFonts w:eastAsia="Times New Roman" w:cs="Times New Roman"/>
          <w:szCs w:val="20"/>
          <w:shd w:val="clear" w:color="auto" w:fill="F8F9FA"/>
          <w:lang w:val="en-GB" w:eastAsia="tr-TR"/>
        </w:rPr>
        <w:t>(Hıdıroğlu &amp; Özkan Hıdıroğlu, 2016). Technologically literate teachers will be more successful in providing such environments.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 xml:space="preserve">Another new learning approach is STEM education. STEM education is an interdisciplinary approach that covers the entire educational process from pre-school education to higher education (Gonzalez &amp; Kuenzi, 2012). STEM education includes technology and engineering fields based on science and mathematics disciplines (Bybee, 2010). According to the way STEM is handled in the learning environment, it is possible to talk about silo (disciplines are treated separately), grounded (at least one area supports the other) and holistic (all disciplines come together) approaches (Roberts &amp; Cantu, 2012). Hom (2014) </w:t>
      </w:r>
      <w:r>
        <w:rPr>
          <w:rFonts w:eastAsia="Times New Roman" w:cs="Times New Roman"/>
          <w:szCs w:val="20"/>
          <w:lang w:val="en-GB" w:eastAsia="tr-TR"/>
        </w:rPr>
        <w:t>noted</w:t>
      </w:r>
      <w:r w:rsidRPr="00CC1DC5">
        <w:rPr>
          <w:rFonts w:eastAsia="Times New Roman" w:cs="Times New Roman"/>
          <w:szCs w:val="20"/>
          <w:lang w:val="en-GB" w:eastAsia="tr-TR"/>
        </w:rPr>
        <w:t xml:space="preserve"> that STEM education is an integrated approach that combines science, technology, engineering and mathematics disciplines with different subjects in real life contexts simultaneously. </w:t>
      </w:r>
      <w:r>
        <w:rPr>
          <w:rFonts w:eastAsia="Times New Roman" w:cs="Times New Roman"/>
          <w:szCs w:val="20"/>
          <w:lang w:val="en-GB" w:eastAsia="tr-TR"/>
        </w:rPr>
        <w:t>The a</w:t>
      </w:r>
      <w:r w:rsidRPr="00CC1DC5">
        <w:rPr>
          <w:rFonts w:eastAsia="Times New Roman" w:cs="Times New Roman"/>
          <w:szCs w:val="20"/>
          <w:lang w:val="en-GB" w:eastAsia="tr-TR"/>
        </w:rPr>
        <w:t>ims of STEM education</w:t>
      </w:r>
      <w:r>
        <w:rPr>
          <w:rFonts w:eastAsia="Times New Roman" w:cs="Times New Roman"/>
          <w:szCs w:val="20"/>
          <w:lang w:val="en-GB" w:eastAsia="tr-TR"/>
        </w:rPr>
        <w:t xml:space="preserve"> are as follows:</w:t>
      </w:r>
      <w:r w:rsidRPr="00CC1DC5">
        <w:rPr>
          <w:rFonts w:eastAsia="Times New Roman" w:cs="Times New Roman"/>
          <w:szCs w:val="20"/>
          <w:lang w:val="en-GB" w:eastAsia="tr-TR"/>
        </w:rPr>
        <w:t xml:space="preserve"> (1) to increase scien</w:t>
      </w:r>
      <w:r>
        <w:rPr>
          <w:rFonts w:eastAsia="Times New Roman" w:cs="Times New Roman"/>
          <w:szCs w:val="20"/>
          <w:lang w:val="en-GB" w:eastAsia="tr-TR"/>
        </w:rPr>
        <w:t>ce</w:t>
      </w:r>
      <w:r w:rsidRPr="00CC1DC5">
        <w:rPr>
          <w:rFonts w:eastAsia="Times New Roman" w:cs="Times New Roman"/>
          <w:szCs w:val="20"/>
          <w:lang w:val="en-GB" w:eastAsia="tr-TR"/>
        </w:rPr>
        <w:t xml:space="preserve"> and technology literacy, (2) to gain problem solving and critical thinking skills, (3) to increase awareness </w:t>
      </w:r>
      <w:r>
        <w:rPr>
          <w:rFonts w:eastAsia="Times New Roman" w:cs="Times New Roman"/>
          <w:szCs w:val="20"/>
          <w:lang w:val="en-GB" w:eastAsia="tr-TR"/>
        </w:rPr>
        <w:t>towards</w:t>
      </w:r>
      <w:r w:rsidRPr="00CC1DC5">
        <w:rPr>
          <w:rFonts w:eastAsia="Times New Roman" w:cs="Times New Roman"/>
          <w:szCs w:val="20"/>
          <w:lang w:val="en-GB" w:eastAsia="tr-TR"/>
        </w:rPr>
        <w:t xml:space="preserve"> engineering and technology, (4) to increase interest in engineering careers and to produce innovations that support the economic development of countries (Thomas, 2014). It is </w:t>
      </w:r>
      <w:r>
        <w:rPr>
          <w:rFonts w:eastAsia="Times New Roman" w:cs="Times New Roman"/>
          <w:szCs w:val="20"/>
          <w:lang w:val="en-GB" w:eastAsia="tr-TR"/>
        </w:rPr>
        <w:t xml:space="preserve">required for </w:t>
      </w:r>
      <w:r w:rsidRPr="00CC1DC5">
        <w:rPr>
          <w:rFonts w:eastAsia="Times New Roman" w:cs="Times New Roman"/>
          <w:szCs w:val="20"/>
          <w:lang w:val="en-GB" w:eastAsia="tr-TR"/>
        </w:rPr>
        <w:t>science, technology and mathematics teachers</w:t>
      </w:r>
      <w:r>
        <w:rPr>
          <w:rFonts w:eastAsia="Times New Roman" w:cs="Times New Roman"/>
          <w:szCs w:val="20"/>
          <w:lang w:val="en-GB" w:eastAsia="tr-TR"/>
        </w:rPr>
        <w:t xml:space="preserve">, </w:t>
      </w:r>
      <w:r w:rsidRPr="00CC1DC5">
        <w:rPr>
          <w:rFonts w:eastAsia="Times New Roman" w:cs="Times New Roman"/>
          <w:szCs w:val="20"/>
          <w:lang w:val="en-GB" w:eastAsia="tr-TR"/>
        </w:rPr>
        <w:t>who will design and implement the STEM learning process to educate future people</w:t>
      </w:r>
      <w:r>
        <w:rPr>
          <w:rFonts w:eastAsia="Times New Roman" w:cs="Times New Roman"/>
          <w:szCs w:val="20"/>
          <w:lang w:val="en-GB" w:eastAsia="tr-TR"/>
        </w:rPr>
        <w:t>,</w:t>
      </w:r>
      <w:r w:rsidRPr="00CC1DC5">
        <w:rPr>
          <w:rFonts w:eastAsia="Times New Roman" w:cs="Times New Roman"/>
          <w:szCs w:val="20"/>
          <w:lang w:val="en-GB" w:eastAsia="tr-TR"/>
        </w:rPr>
        <w:t xml:space="preserve"> to have technology literacy skills (Miaoulis, 2009; Moran, 2002). At the same time, teachers should be able to </w:t>
      </w:r>
      <w:r>
        <w:rPr>
          <w:rFonts w:eastAsia="Times New Roman" w:cs="Times New Roman"/>
          <w:szCs w:val="20"/>
          <w:lang w:val="en-GB" w:eastAsia="tr-TR"/>
        </w:rPr>
        <w:t>enable</w:t>
      </w:r>
      <w:r w:rsidRPr="00CC1DC5">
        <w:rPr>
          <w:rFonts w:eastAsia="Times New Roman" w:cs="Times New Roman"/>
          <w:szCs w:val="20"/>
          <w:lang w:val="en-GB" w:eastAsia="tr-TR"/>
        </w:rPr>
        <w:t xml:space="preserve"> children to discover and reflect </w:t>
      </w:r>
      <w:r w:rsidRPr="00ED653F">
        <w:rPr>
          <w:rFonts w:eastAsia="Times New Roman" w:cs="Times New Roman"/>
          <w:szCs w:val="20"/>
          <w:lang w:val="en-GB" w:eastAsia="tr-TR"/>
        </w:rPr>
        <w:t xml:space="preserve">their theories in well-planned STEM practices, be aware of different solution strategies and processes, and create effective learning experiences. It is seen that an important emphasis is placed on both the proactive role of mathematics teachers and technology literacy in both the technology and mathematical modeling </w:t>
      </w:r>
      <w:r w:rsidRPr="00ED653F">
        <w:rPr>
          <w:rFonts w:eastAsia="Times New Roman" w:cs="Times New Roman"/>
          <w:szCs w:val="20"/>
          <w:lang w:val="en-GB" w:eastAsia="tr-TR"/>
        </w:rPr>
        <w:lastRenderedPageBreak/>
        <w:t>supported learning processes and mathematics teaching studies in STEM learning environments. As a similar example, in the project titled</w:t>
      </w:r>
      <w:r w:rsidRPr="00CC1DC5">
        <w:rPr>
          <w:rFonts w:eastAsia="Times New Roman" w:cs="Times New Roman"/>
          <w:szCs w:val="20"/>
          <w:lang w:val="en-GB" w:eastAsia="tr-TR"/>
        </w:rPr>
        <w:t xml:space="preserve"> “Partnership for </w:t>
      </w:r>
      <w:r>
        <w:rPr>
          <w:rFonts w:eastAsia="Times New Roman" w:cs="Times New Roman"/>
          <w:szCs w:val="20"/>
          <w:lang w:val="en-GB" w:eastAsia="tr-TR"/>
        </w:rPr>
        <w:t xml:space="preserve">the </w:t>
      </w:r>
      <w:r w:rsidRPr="00CC1DC5">
        <w:rPr>
          <w:rFonts w:eastAsia="Times New Roman" w:cs="Times New Roman"/>
          <w:szCs w:val="20"/>
          <w:lang w:val="en-GB" w:eastAsia="tr-TR"/>
        </w:rPr>
        <w:t xml:space="preserve">21st Century Skills”, the main skills of the 21st century </w:t>
      </w:r>
      <w:r>
        <w:rPr>
          <w:rFonts w:eastAsia="Times New Roman" w:cs="Times New Roman"/>
          <w:szCs w:val="20"/>
          <w:lang w:val="en-GB" w:eastAsia="tr-TR"/>
        </w:rPr>
        <w:t>include</w:t>
      </w:r>
      <w:r w:rsidRPr="00CC1DC5">
        <w:rPr>
          <w:rFonts w:eastAsia="Times New Roman" w:cs="Times New Roman"/>
          <w:szCs w:val="20"/>
          <w:lang w:val="en-GB" w:eastAsia="tr-TR"/>
        </w:rPr>
        <w:t xml:space="preserve"> proactive behaviors such as innovation, openness to change (flexibility), entrepreneurship, responsibility, self-</w:t>
      </w:r>
      <w:r>
        <w:rPr>
          <w:rFonts w:eastAsia="Times New Roman" w:cs="Times New Roman"/>
          <w:szCs w:val="20"/>
          <w:lang w:val="en-GB" w:eastAsia="tr-TR"/>
        </w:rPr>
        <w:t>direction</w:t>
      </w:r>
      <w:r w:rsidRPr="00CC1DC5">
        <w:rPr>
          <w:rFonts w:eastAsia="Times New Roman" w:cs="Times New Roman"/>
          <w:szCs w:val="20"/>
          <w:lang w:val="en-GB" w:eastAsia="tr-TR"/>
        </w:rPr>
        <w:t>, information and communication technologies (ICT) literacy and technology literacy skills.</w:t>
      </w:r>
    </w:p>
    <w:p w:rsidR="000C4D2C" w:rsidRDefault="000C4D2C" w:rsidP="000C4D2C">
      <w:pPr>
        <w:widowControl w:val="0"/>
        <w:suppressAutoHyphens w:val="0"/>
        <w:spacing w:line="360" w:lineRule="auto"/>
        <w:rPr>
          <w:rFonts w:eastAsia="Times New Roman" w:cs="Times New Roman"/>
          <w:szCs w:val="20"/>
          <w:lang w:val="en-GB" w:eastAsia="tr-TR"/>
        </w:rPr>
      </w:pPr>
    </w:p>
    <w:p w:rsid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All these studies reveal that the 21st century math teachers' proactive behavior and technological literacy are crucial. The absence of a study for the relationship between these two variables is the most basic element that makes this study original. In the literature, there has been no study on the relationship between the technology literacy, proactive personalities of the mathematics teachers and the proactive personalities of technology literacy. In this sense, it is believed that the study will contribute to the literature. The aim of this study is to determine the secondary school mathematics teachers’ perceptions about their technology literacy and proactive personality, and to examine the relationship between perceptions about their technology literacy and perceptions about their proactive personality. In this respect, the following sub-problems are determined:</w:t>
      </w:r>
    </w:p>
    <w:p w:rsidR="00EF4342" w:rsidRPr="000C4D2C" w:rsidRDefault="00EF4342" w:rsidP="000C4D2C">
      <w:pPr>
        <w:widowControl w:val="0"/>
        <w:suppressAutoHyphens w:val="0"/>
        <w:spacing w:line="360" w:lineRule="auto"/>
        <w:rPr>
          <w:rFonts w:eastAsia="Times New Roman" w:cs="Times New Roman"/>
          <w:szCs w:val="20"/>
          <w:lang w:val="en-GB" w:eastAsia="tr-TR"/>
        </w:rPr>
      </w:pPr>
    </w:p>
    <w:p w:rsidR="000C4D2C" w:rsidRP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 xml:space="preserve">1)What is the perception of the secondary school mathematics teachers about their level </w:t>
      </w:r>
      <w:proofErr w:type="gramStart"/>
      <w:r w:rsidRPr="000C4D2C">
        <w:rPr>
          <w:rFonts w:eastAsia="Times New Roman" w:cs="Times New Roman"/>
          <w:szCs w:val="20"/>
          <w:lang w:val="en-GB" w:eastAsia="tr-TR"/>
        </w:rPr>
        <w:t>of  technology</w:t>
      </w:r>
      <w:proofErr w:type="gramEnd"/>
      <w:r w:rsidRPr="000C4D2C">
        <w:rPr>
          <w:rFonts w:eastAsia="Times New Roman" w:cs="Times New Roman"/>
          <w:szCs w:val="20"/>
          <w:lang w:val="en-GB" w:eastAsia="tr-TR"/>
        </w:rPr>
        <w:t xml:space="preserve"> literacy </w:t>
      </w:r>
    </w:p>
    <w:p w:rsidR="000C4D2C" w:rsidRP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 xml:space="preserve">2)What is the perception of the secondary school mathematics teachers about their level of proactive personalities </w:t>
      </w:r>
    </w:p>
    <w:p w:rsidR="000C4D2C" w:rsidRP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 xml:space="preserve">3)Is there a significant relationship between secondary school mathematics teachers’ perceptions of technology literacy and proactive personalities? </w:t>
      </w:r>
    </w:p>
    <w:p w:rsidR="000C4D2C" w:rsidRDefault="000C4D2C" w:rsidP="000C4D2C">
      <w:pPr>
        <w:widowControl w:val="0"/>
        <w:suppressAutoHyphens w:val="0"/>
        <w:spacing w:line="360" w:lineRule="auto"/>
        <w:rPr>
          <w:rFonts w:eastAsia="Times New Roman" w:cs="Times New Roman"/>
          <w:szCs w:val="20"/>
          <w:lang w:val="en-GB" w:eastAsia="tr-TR"/>
        </w:rPr>
      </w:pPr>
      <w:r w:rsidRPr="000C4D2C">
        <w:rPr>
          <w:rFonts w:eastAsia="Times New Roman" w:cs="Times New Roman"/>
          <w:szCs w:val="20"/>
          <w:lang w:val="en-GB" w:eastAsia="tr-TR"/>
        </w:rPr>
        <w:t>4)Are secondary school mathematics teachers’ perceptions of their proactive personality a significant predictor of their perceptions of their technology literacy?</w:t>
      </w:r>
    </w:p>
    <w:p w:rsidR="000C4D2C" w:rsidRDefault="000C4D2C" w:rsidP="000C4D2C">
      <w:pPr>
        <w:widowControl w:val="0"/>
        <w:suppressAutoHyphens w:val="0"/>
        <w:spacing w:line="360" w:lineRule="auto"/>
        <w:rPr>
          <w:rFonts w:eastAsia="Times New Roman" w:cs="Times New Roman"/>
          <w:szCs w:val="20"/>
          <w:lang w:val="en-GB" w:eastAsia="tr-TR"/>
        </w:rPr>
      </w:pPr>
    </w:p>
    <w:p w:rsidR="00EF4342" w:rsidRPr="00EF4342" w:rsidRDefault="00EF4342" w:rsidP="000C4D2C">
      <w:pPr>
        <w:widowControl w:val="0"/>
        <w:suppressAutoHyphens w:val="0"/>
        <w:spacing w:line="360" w:lineRule="auto"/>
        <w:rPr>
          <w:rFonts w:eastAsia="Times New Roman" w:cs="Times New Roman"/>
          <w:b/>
          <w:sz w:val="24"/>
          <w:szCs w:val="24"/>
          <w:lang w:val="en-GB" w:eastAsia="tr-TR"/>
        </w:rPr>
      </w:pPr>
      <w:r w:rsidRPr="00EF4342">
        <w:rPr>
          <w:rFonts w:eastAsia="Times New Roman" w:cs="Times New Roman"/>
          <w:b/>
          <w:sz w:val="24"/>
          <w:szCs w:val="24"/>
          <w:lang w:val="en-GB" w:eastAsia="tr-TR"/>
        </w:rPr>
        <w:t>Method</w:t>
      </w:r>
    </w:p>
    <w:p w:rsidR="00EF4342" w:rsidRPr="00EF4342" w:rsidRDefault="00EF4342" w:rsidP="000C4D2C">
      <w:pPr>
        <w:widowControl w:val="0"/>
        <w:suppressAutoHyphens w:val="0"/>
        <w:spacing w:line="360" w:lineRule="auto"/>
        <w:rPr>
          <w:rFonts w:eastAsia="Times New Roman" w:cs="Times New Roman"/>
          <w:sz w:val="24"/>
          <w:szCs w:val="24"/>
          <w:lang w:val="en-GB" w:eastAsia="tr-TR"/>
        </w:rPr>
      </w:pPr>
    </w:p>
    <w:p w:rsidR="00EF4342" w:rsidRDefault="00EF4342" w:rsidP="000C4D2C">
      <w:pPr>
        <w:widowControl w:val="0"/>
        <w:suppressAutoHyphens w:val="0"/>
        <w:spacing w:line="360" w:lineRule="auto"/>
        <w:rPr>
          <w:rFonts w:eastAsia="Times New Roman" w:cs="Times New Roman"/>
          <w:szCs w:val="20"/>
          <w:lang w:val="en-GB" w:eastAsia="tr-TR"/>
        </w:rPr>
      </w:pPr>
      <w:r w:rsidRPr="00EF4342">
        <w:rPr>
          <w:rFonts w:eastAsia="Times New Roman" w:cs="Times New Roman"/>
          <w:szCs w:val="20"/>
          <w:lang w:val="en-GB" w:eastAsia="tr-TR"/>
        </w:rPr>
        <w:t>Research Design</w:t>
      </w:r>
    </w:p>
    <w:p w:rsidR="00EF4342" w:rsidRDefault="00EF4342" w:rsidP="000C4D2C">
      <w:pPr>
        <w:widowControl w:val="0"/>
        <w:suppressAutoHyphens w:val="0"/>
        <w:spacing w:line="360" w:lineRule="auto"/>
        <w:rPr>
          <w:rFonts w:eastAsia="Times New Roman" w:cs="Times New Roman"/>
          <w:szCs w:val="20"/>
          <w:lang w:val="en-GB" w:eastAsia="tr-TR"/>
        </w:rPr>
      </w:pPr>
    </w:p>
    <w:p w:rsidR="00EF4342" w:rsidRDefault="00EF4342" w:rsidP="000C4D2C">
      <w:pPr>
        <w:widowControl w:val="0"/>
        <w:suppressAutoHyphens w:val="0"/>
        <w:spacing w:line="360" w:lineRule="auto"/>
        <w:rPr>
          <w:rFonts w:eastAsia="Times New Roman" w:cs="Times New Roman"/>
          <w:szCs w:val="20"/>
          <w:lang w:val="en-GB" w:eastAsia="tr-TR"/>
        </w:rPr>
      </w:pPr>
      <w:r w:rsidRPr="00EF4342">
        <w:rPr>
          <w:rFonts w:eastAsia="Times New Roman" w:cs="Times New Roman"/>
          <w:szCs w:val="20"/>
          <w:lang w:val="en-GB" w:eastAsia="tr-TR"/>
        </w:rPr>
        <w:t>The study is a correlational survey conducted with a quantitative research approach. According to Karasar (2009), the research model, which aims to determine the existence of variation between variables and its degree, is a relational screening model. In this study, the correlational survey model was used to determine if there is a relationship between technology literacy and proactive personalities of secondary school mathematics teachers, and the degree of it, if any. In the study, it is tried to be determined whether the variables change together, and if there is a change, the level of the change.</w:t>
      </w:r>
    </w:p>
    <w:p w:rsidR="00EF4342" w:rsidRDefault="00EF4342" w:rsidP="000C4D2C">
      <w:pPr>
        <w:widowControl w:val="0"/>
        <w:suppressAutoHyphens w:val="0"/>
        <w:spacing w:line="360" w:lineRule="auto"/>
        <w:rPr>
          <w:rFonts w:eastAsia="Times New Roman" w:cs="Times New Roman"/>
          <w:szCs w:val="20"/>
          <w:lang w:val="en-GB" w:eastAsia="tr-TR"/>
        </w:rPr>
      </w:pPr>
    </w:p>
    <w:p w:rsidR="00EF4342" w:rsidRPr="00CC1DC5" w:rsidRDefault="00EF4342" w:rsidP="00EF4342">
      <w:pPr>
        <w:widowControl w:val="0"/>
        <w:tabs>
          <w:tab w:val="left" w:pos="709"/>
        </w:tabs>
        <w:autoSpaceDE w:val="0"/>
        <w:autoSpaceDN w:val="0"/>
        <w:adjustRightInd w:val="0"/>
        <w:jc w:val="left"/>
        <w:rPr>
          <w:b/>
          <w:bCs/>
          <w:szCs w:val="20"/>
          <w:lang w:val="en-GB"/>
        </w:rPr>
      </w:pPr>
      <w:r w:rsidRPr="00CC1DC5">
        <w:rPr>
          <w:b/>
          <w:bCs/>
          <w:szCs w:val="20"/>
          <w:lang w:val="en-GB"/>
        </w:rPr>
        <w:t>Research Sample</w:t>
      </w:r>
    </w:p>
    <w:p w:rsidR="00EF4342" w:rsidRDefault="00EF4342" w:rsidP="000C4D2C">
      <w:pPr>
        <w:widowControl w:val="0"/>
        <w:suppressAutoHyphens w:val="0"/>
        <w:spacing w:line="360" w:lineRule="auto"/>
        <w:rPr>
          <w:rFonts w:eastAsia="Times New Roman" w:cs="Times New Roman"/>
          <w:szCs w:val="20"/>
          <w:lang w:val="en-GB" w:eastAsia="tr-TR"/>
        </w:rPr>
      </w:pPr>
    </w:p>
    <w:p w:rsidR="00EF4342" w:rsidRDefault="00EF4342" w:rsidP="000C4D2C">
      <w:pPr>
        <w:widowControl w:val="0"/>
        <w:suppressAutoHyphens w:val="0"/>
        <w:spacing w:line="360" w:lineRule="auto"/>
        <w:rPr>
          <w:rFonts w:eastAsia="Times New Roman" w:cs="Times New Roman"/>
          <w:szCs w:val="20"/>
          <w:lang w:val="en-GB" w:eastAsia="tr-TR"/>
        </w:rPr>
      </w:pPr>
      <w:r w:rsidRPr="00EF4342">
        <w:rPr>
          <w:rFonts w:eastAsia="Times New Roman" w:cs="Times New Roman"/>
          <w:szCs w:val="20"/>
          <w:lang w:val="en-GB" w:eastAsia="tr-TR"/>
        </w:rPr>
        <w:t xml:space="preserve">The population of the study was comprised of secondary school mathematics teachers working in different regions of Turkey during 2018-2019 academic year. A simple random sampling method was used to select the sample of the study. A total of 385 people </w:t>
      </w:r>
      <w:proofErr w:type="gramStart"/>
      <w:r w:rsidRPr="00EF4342">
        <w:rPr>
          <w:rFonts w:eastAsia="Times New Roman" w:cs="Times New Roman"/>
          <w:szCs w:val="20"/>
          <w:lang w:val="en-GB" w:eastAsia="tr-TR"/>
        </w:rPr>
        <w:t>were</w:t>
      </w:r>
      <w:proofErr w:type="gramEnd"/>
      <w:r w:rsidRPr="00EF4342">
        <w:rPr>
          <w:rFonts w:eastAsia="Times New Roman" w:cs="Times New Roman"/>
          <w:szCs w:val="20"/>
          <w:lang w:val="en-GB" w:eastAsia="tr-TR"/>
        </w:rPr>
        <w:t xml:space="preserve"> reached and five data were considered invalid. The study was carried out with 380 secondary school mathematics teachers. A sufficient number of </w:t>
      </w:r>
      <w:proofErr w:type="gramStart"/>
      <w:r w:rsidRPr="00EF4342">
        <w:rPr>
          <w:rFonts w:eastAsia="Times New Roman" w:cs="Times New Roman"/>
          <w:szCs w:val="20"/>
          <w:lang w:val="en-GB" w:eastAsia="tr-TR"/>
        </w:rPr>
        <w:t>sample</w:t>
      </w:r>
      <w:proofErr w:type="gramEnd"/>
      <w:r w:rsidRPr="00EF4342">
        <w:rPr>
          <w:rFonts w:eastAsia="Times New Roman" w:cs="Times New Roman"/>
          <w:szCs w:val="20"/>
          <w:lang w:val="en-GB" w:eastAsia="tr-TR"/>
        </w:rPr>
        <w:t xml:space="preserve"> was reached by using the sample size table of Gay and Airasan (2000). Demographic characteristics of the teachers who participated in the study are given in Table 1.</w:t>
      </w:r>
    </w:p>
    <w:p w:rsidR="00EF4342" w:rsidRDefault="00EF4342" w:rsidP="000C4D2C">
      <w:pPr>
        <w:widowControl w:val="0"/>
        <w:suppressAutoHyphens w:val="0"/>
        <w:spacing w:line="360" w:lineRule="auto"/>
        <w:rPr>
          <w:rFonts w:eastAsia="Times New Roman" w:cs="Times New Roman"/>
          <w:szCs w:val="20"/>
          <w:lang w:val="en-GB" w:eastAsia="tr-TR"/>
        </w:rPr>
      </w:pPr>
    </w:p>
    <w:p w:rsidR="00EF4342" w:rsidRPr="00CC1DC5" w:rsidRDefault="00EF4342" w:rsidP="00EF4342">
      <w:pPr>
        <w:widowControl w:val="0"/>
        <w:tabs>
          <w:tab w:val="left" w:pos="709"/>
        </w:tabs>
        <w:autoSpaceDE w:val="0"/>
        <w:autoSpaceDN w:val="0"/>
        <w:adjustRightInd w:val="0"/>
        <w:spacing w:line="360" w:lineRule="auto"/>
        <w:jc w:val="center"/>
        <w:rPr>
          <w:szCs w:val="20"/>
          <w:lang w:val="en-GB"/>
        </w:rPr>
      </w:pPr>
      <w:r w:rsidRPr="00CC1DC5">
        <w:rPr>
          <w:szCs w:val="20"/>
          <w:lang w:val="en-GB"/>
        </w:rPr>
        <w:t>Table 1. Demographic characteristics of the participant teachers</w:t>
      </w:r>
    </w:p>
    <w:tbl>
      <w:tblPr>
        <w:tblW w:w="0" w:type="auto"/>
        <w:jc w:val="center"/>
        <w:tblBorders>
          <w:top w:val="single" w:sz="4" w:space="0" w:color="auto"/>
          <w:bottom w:val="single" w:sz="4" w:space="0" w:color="auto"/>
        </w:tblBorders>
        <w:tblLook w:val="01E0" w:firstRow="1" w:lastRow="1" w:firstColumn="1" w:lastColumn="1" w:noHBand="0" w:noVBand="0"/>
      </w:tblPr>
      <w:tblGrid>
        <w:gridCol w:w="1711"/>
        <w:gridCol w:w="1894"/>
        <w:gridCol w:w="516"/>
        <w:gridCol w:w="783"/>
      </w:tblGrid>
      <w:tr w:rsidR="00EF4342" w:rsidRPr="00CC1DC5" w:rsidTr="00EF4342">
        <w:trPr>
          <w:jc w:val="center"/>
        </w:trPr>
        <w:tc>
          <w:tcPr>
            <w:tcW w:w="0" w:type="auto"/>
            <w:gridSpan w:val="2"/>
            <w:tcBorders>
              <w:top w:val="single" w:sz="4" w:space="0" w:color="auto"/>
              <w:bottom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Variable</w:t>
            </w:r>
          </w:p>
        </w:tc>
        <w:tc>
          <w:tcPr>
            <w:tcW w:w="0" w:type="auto"/>
            <w:tcBorders>
              <w:top w:val="single" w:sz="4" w:space="0" w:color="auto"/>
              <w:bottom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n</w:t>
            </w:r>
          </w:p>
        </w:tc>
        <w:tc>
          <w:tcPr>
            <w:tcW w:w="0" w:type="auto"/>
            <w:tcBorders>
              <w:top w:val="single" w:sz="4" w:space="0" w:color="auto"/>
              <w:bottom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w:t>
            </w:r>
          </w:p>
        </w:tc>
      </w:tr>
      <w:tr w:rsidR="00EF4342" w:rsidRPr="00CC1DC5" w:rsidTr="00EF4342">
        <w:trPr>
          <w:jc w:val="center"/>
        </w:trPr>
        <w:tc>
          <w:tcPr>
            <w:tcW w:w="0" w:type="auto"/>
            <w:vMerge w:val="restart"/>
            <w:tcBorders>
              <w:top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Gender</w:t>
            </w:r>
          </w:p>
        </w:tc>
        <w:tc>
          <w:tcPr>
            <w:tcW w:w="0" w:type="auto"/>
            <w:tcBorders>
              <w:top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Female</w:t>
            </w:r>
          </w:p>
        </w:tc>
        <w:tc>
          <w:tcPr>
            <w:tcW w:w="0" w:type="auto"/>
            <w:tcBorders>
              <w:top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248</w:t>
            </w:r>
          </w:p>
        </w:tc>
        <w:tc>
          <w:tcPr>
            <w:tcW w:w="0" w:type="auto"/>
            <w:tcBorders>
              <w:top w:val="single" w:sz="4" w:space="0" w:color="auto"/>
            </w:tcBorders>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65.3 %</w:t>
            </w:r>
          </w:p>
        </w:tc>
      </w:tr>
      <w:tr w:rsidR="00EF4342" w:rsidRPr="00CC1DC5" w:rsidTr="00EF4342">
        <w:trPr>
          <w:trHeight w:val="138"/>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Male</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132</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34.7 %</w:t>
            </w:r>
          </w:p>
        </w:tc>
      </w:tr>
      <w:tr w:rsidR="00EF4342" w:rsidRPr="00CC1DC5" w:rsidTr="00EF4342">
        <w:trPr>
          <w:trHeight w:val="57"/>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Total</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380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 xml:space="preserve">100 </w:t>
            </w:r>
            <w:r w:rsidRPr="00CC1DC5">
              <w:rPr>
                <w:rFonts w:eastAsia="Times New Roman"/>
                <w:szCs w:val="20"/>
                <w:lang w:val="en-GB"/>
              </w:rPr>
              <w:t>%</w:t>
            </w:r>
          </w:p>
        </w:tc>
      </w:tr>
      <w:tr w:rsidR="00EF4342" w:rsidRPr="00CC1DC5" w:rsidTr="00EF4342">
        <w:trPr>
          <w:jc w:val="center"/>
        </w:trPr>
        <w:tc>
          <w:tcPr>
            <w:tcW w:w="0" w:type="auto"/>
            <w:vMerge w:val="restart"/>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Age Groups</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Between 20-30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187</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49.2 %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Between 31-40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166</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43.7 %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Between 41-50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22</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5.8 %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51 and over</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1.3 %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Total</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380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 xml:space="preserve">100 </w:t>
            </w:r>
            <w:r w:rsidRPr="00CC1DC5">
              <w:rPr>
                <w:rFonts w:eastAsia="Times New Roman"/>
                <w:szCs w:val="20"/>
                <w:lang w:val="en-GB"/>
              </w:rPr>
              <w:t>%</w:t>
            </w:r>
          </w:p>
        </w:tc>
      </w:tr>
      <w:tr w:rsidR="00EF4342" w:rsidRPr="00CC1DC5" w:rsidTr="00EF4342">
        <w:trPr>
          <w:jc w:val="center"/>
        </w:trPr>
        <w:tc>
          <w:tcPr>
            <w:tcW w:w="0" w:type="auto"/>
            <w:vMerge w:val="restart"/>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Seniority</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0-5 years</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118</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31.1 %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6-10 years</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118</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31.1 %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11-15 years</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91</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23.9 %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16-20 years</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40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10.5 %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21 years and over</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13</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3.4 %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Total</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380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 xml:space="preserve">100 </w:t>
            </w:r>
            <w:r w:rsidRPr="00CC1DC5">
              <w:rPr>
                <w:rFonts w:eastAsia="Times New Roman"/>
                <w:szCs w:val="20"/>
                <w:lang w:val="en-GB"/>
              </w:rPr>
              <w:t>%</w:t>
            </w:r>
          </w:p>
        </w:tc>
      </w:tr>
      <w:tr w:rsidR="00EF4342" w:rsidRPr="00CC1DC5" w:rsidTr="00EF4342">
        <w:trPr>
          <w:jc w:val="center"/>
        </w:trPr>
        <w:tc>
          <w:tcPr>
            <w:tcW w:w="0" w:type="auto"/>
            <w:vMerge w:val="restart"/>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Educational Status</w:t>
            </w:r>
          </w:p>
        </w:tc>
        <w:tc>
          <w:tcPr>
            <w:tcW w:w="0" w:type="auto"/>
            <w:shd w:val="clear" w:color="auto" w:fill="auto"/>
            <w:vAlign w:val="center"/>
          </w:tcPr>
          <w:p w:rsidR="00EF4342" w:rsidRPr="00CC1DC5" w:rsidRDefault="00EF4342" w:rsidP="00EF4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sidRPr="00CC1DC5">
              <w:rPr>
                <w:rFonts w:eastAsia="Times New Roman" w:cs="Times New Roman"/>
                <w:szCs w:val="20"/>
                <w:lang w:val="en-GB" w:eastAsia="tr-TR"/>
              </w:rPr>
              <w:t>Bachelor's degree</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314</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82.6 %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Graduate degree</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66</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17.4 %</w:t>
            </w:r>
          </w:p>
        </w:tc>
      </w:tr>
      <w:tr w:rsidR="00EF4342" w:rsidRPr="00CC1DC5" w:rsidTr="00EF4342">
        <w:trPr>
          <w:jc w:val="center"/>
        </w:trPr>
        <w:tc>
          <w:tcPr>
            <w:tcW w:w="0" w:type="auto"/>
            <w:vMerge/>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Total</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380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 xml:space="preserve">100 </w:t>
            </w:r>
            <w:r w:rsidRPr="00CC1DC5">
              <w:rPr>
                <w:rFonts w:eastAsia="Times New Roman"/>
                <w:szCs w:val="20"/>
                <w:lang w:val="en-GB"/>
              </w:rPr>
              <w:t>%</w:t>
            </w:r>
          </w:p>
        </w:tc>
      </w:tr>
      <w:tr w:rsidR="00EF4342" w:rsidRPr="00CC1DC5" w:rsidTr="00EF4342">
        <w:trPr>
          <w:jc w:val="center"/>
        </w:trPr>
        <w:tc>
          <w:tcPr>
            <w:tcW w:w="0" w:type="auto"/>
            <w:vMerge w:val="restart"/>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Faculty graduated</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Faculty of Education</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338</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88.9 %</w:t>
            </w:r>
          </w:p>
        </w:tc>
      </w:tr>
      <w:tr w:rsidR="00EF4342" w:rsidRPr="00CC1DC5" w:rsidTr="00EF4342">
        <w:trPr>
          <w:jc w:val="center"/>
        </w:trPr>
        <w:tc>
          <w:tcPr>
            <w:tcW w:w="0" w:type="auto"/>
            <w:vMerge/>
            <w:shd w:val="clear" w:color="auto" w:fill="auto"/>
          </w:tcPr>
          <w:p w:rsidR="00EF4342" w:rsidRPr="00CC1DC5" w:rsidRDefault="00EF4342" w:rsidP="00EF4342">
            <w:pPr>
              <w:widowControl w:val="0"/>
              <w:tabs>
                <w:tab w:val="left" w:pos="709"/>
              </w:tabs>
              <w:autoSpaceDE w:val="0"/>
              <w:autoSpaceDN w:val="0"/>
              <w:adjustRightInd w:val="0"/>
              <w:spacing w:line="360" w:lineRule="auto"/>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Other</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42</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11.1 %</w:t>
            </w:r>
          </w:p>
        </w:tc>
      </w:tr>
      <w:tr w:rsidR="00EF4342" w:rsidRPr="00CC1DC5" w:rsidTr="00EF4342">
        <w:trPr>
          <w:jc w:val="center"/>
        </w:trPr>
        <w:tc>
          <w:tcPr>
            <w:tcW w:w="0" w:type="auto"/>
            <w:vMerge/>
            <w:shd w:val="clear" w:color="auto" w:fill="auto"/>
          </w:tcPr>
          <w:p w:rsidR="00EF4342" w:rsidRPr="00CC1DC5" w:rsidRDefault="00EF4342" w:rsidP="00EF4342">
            <w:pPr>
              <w:widowControl w:val="0"/>
              <w:tabs>
                <w:tab w:val="left" w:pos="709"/>
              </w:tabs>
              <w:autoSpaceDE w:val="0"/>
              <w:autoSpaceDN w:val="0"/>
              <w:adjustRightInd w:val="0"/>
              <w:spacing w:line="360" w:lineRule="auto"/>
              <w:rPr>
                <w:rFonts w:eastAsia="Times New Roman"/>
                <w:szCs w:val="20"/>
                <w:lang w:val="en-GB"/>
              </w:rPr>
            </w:pP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Total</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380</w:t>
            </w:r>
          </w:p>
        </w:tc>
        <w:tc>
          <w:tcPr>
            <w:tcW w:w="0" w:type="auto"/>
            <w:shd w:val="clear" w:color="auto" w:fill="auto"/>
            <w:vAlign w:val="center"/>
          </w:tcPr>
          <w:p w:rsidR="00EF4342" w:rsidRPr="00CC1DC5" w:rsidRDefault="00EF4342" w:rsidP="00EF4342">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 xml:space="preserve">100 </w:t>
            </w:r>
            <w:r w:rsidRPr="00CC1DC5">
              <w:rPr>
                <w:rFonts w:eastAsia="Times New Roman"/>
                <w:szCs w:val="20"/>
                <w:lang w:val="en-GB"/>
              </w:rPr>
              <w:t>%</w:t>
            </w:r>
          </w:p>
        </w:tc>
      </w:tr>
    </w:tbl>
    <w:p w:rsidR="00EF4342" w:rsidRPr="00CC1DC5" w:rsidRDefault="00EF4342" w:rsidP="00EF4342">
      <w:pPr>
        <w:widowControl w:val="0"/>
        <w:tabs>
          <w:tab w:val="left" w:pos="709"/>
        </w:tabs>
        <w:autoSpaceDE w:val="0"/>
        <w:autoSpaceDN w:val="0"/>
        <w:adjustRightInd w:val="0"/>
        <w:jc w:val="center"/>
        <w:rPr>
          <w:b/>
          <w:bCs/>
          <w:szCs w:val="20"/>
          <w:lang w:val="en-GB"/>
        </w:rPr>
      </w:pPr>
    </w:p>
    <w:p w:rsidR="00EF4342" w:rsidRPr="00971A0F" w:rsidRDefault="00971A0F" w:rsidP="000C4D2C">
      <w:pPr>
        <w:widowControl w:val="0"/>
        <w:suppressAutoHyphens w:val="0"/>
        <w:spacing w:line="360" w:lineRule="auto"/>
        <w:rPr>
          <w:rFonts w:eastAsia="Times New Roman" w:cs="Times New Roman"/>
          <w:b/>
          <w:szCs w:val="20"/>
          <w:lang w:val="en-GB" w:eastAsia="tr-TR"/>
        </w:rPr>
      </w:pPr>
      <w:r w:rsidRPr="00971A0F">
        <w:rPr>
          <w:rFonts w:eastAsia="Times New Roman" w:cs="Times New Roman"/>
          <w:b/>
          <w:szCs w:val="20"/>
          <w:lang w:val="en-GB" w:eastAsia="tr-TR"/>
        </w:rPr>
        <w:t>Research Instruments and Procedures</w:t>
      </w:r>
    </w:p>
    <w:p w:rsidR="00971A0F" w:rsidRDefault="00971A0F" w:rsidP="000C4D2C">
      <w:pPr>
        <w:widowControl w:val="0"/>
        <w:suppressAutoHyphens w:val="0"/>
        <w:spacing w:line="360" w:lineRule="auto"/>
        <w:rPr>
          <w:rFonts w:eastAsia="Times New Roman" w:cs="Times New Roman"/>
          <w:szCs w:val="20"/>
          <w:lang w:val="en-GB" w:eastAsia="tr-TR"/>
        </w:rPr>
      </w:pPr>
    </w:p>
    <w:p w:rsidR="00971A0F" w:rsidRDefault="00971A0F" w:rsidP="000C4D2C">
      <w:pPr>
        <w:widowControl w:val="0"/>
        <w:suppressAutoHyphens w:val="0"/>
        <w:spacing w:line="360" w:lineRule="auto"/>
        <w:rPr>
          <w:rFonts w:eastAsia="Times New Roman" w:cs="Times New Roman"/>
          <w:szCs w:val="20"/>
          <w:lang w:val="en-GB" w:eastAsia="tr-TR"/>
        </w:rPr>
      </w:pPr>
      <w:r w:rsidRPr="00971A0F">
        <w:rPr>
          <w:rFonts w:eastAsia="Times New Roman" w:cs="Times New Roman"/>
          <w:szCs w:val="20"/>
          <w:lang w:val="en-GB" w:eastAsia="tr-TR"/>
        </w:rPr>
        <w:t>Two scales were as a data collection instruments including “Technology Literacy Scale” developed by Yiğit (2011) and “Proactive Personality Scale” that was developed by Bateman and Crant (1993), revised by Claes, Beheydt and Lemmens (2005), and adapted to Turkish by Akın, Abacı, Kaya &amp; Arıcı (2011).</w:t>
      </w:r>
    </w:p>
    <w:p w:rsidR="00EF4342" w:rsidRDefault="00EF4342" w:rsidP="000C4D2C">
      <w:pPr>
        <w:widowControl w:val="0"/>
        <w:suppressAutoHyphens w:val="0"/>
        <w:spacing w:line="360" w:lineRule="auto"/>
        <w:rPr>
          <w:rFonts w:eastAsia="Times New Roman" w:cs="Times New Roman"/>
          <w:szCs w:val="20"/>
          <w:lang w:val="en-GB" w:eastAsia="tr-TR"/>
        </w:rPr>
      </w:pPr>
    </w:p>
    <w:p w:rsidR="001F6755" w:rsidRPr="001F6755" w:rsidRDefault="001F6755" w:rsidP="001F6755">
      <w:pPr>
        <w:widowControl w:val="0"/>
        <w:suppressAutoHyphens w:val="0"/>
        <w:spacing w:line="360" w:lineRule="auto"/>
        <w:rPr>
          <w:rFonts w:eastAsia="Times New Roman" w:cs="Times New Roman"/>
          <w:i/>
          <w:szCs w:val="20"/>
          <w:lang w:val="en-GB" w:eastAsia="tr-TR"/>
        </w:rPr>
      </w:pPr>
      <w:r w:rsidRPr="001F6755">
        <w:rPr>
          <w:rFonts w:eastAsia="Times New Roman" w:cs="Times New Roman"/>
          <w:i/>
          <w:szCs w:val="20"/>
          <w:lang w:val="en-GB" w:eastAsia="tr-TR"/>
        </w:rPr>
        <w:t>Technology Literacy Scale</w:t>
      </w:r>
    </w:p>
    <w:p w:rsidR="001F6755" w:rsidRPr="001F6755" w:rsidRDefault="001F6755" w:rsidP="001F6755">
      <w:pPr>
        <w:widowControl w:val="0"/>
        <w:suppressAutoHyphens w:val="0"/>
        <w:spacing w:line="360" w:lineRule="auto"/>
        <w:rPr>
          <w:rFonts w:eastAsia="Times New Roman" w:cs="Times New Roman"/>
          <w:szCs w:val="20"/>
          <w:lang w:val="en-GB" w:eastAsia="tr-TR"/>
        </w:rPr>
      </w:pPr>
    </w:p>
    <w:p w:rsidR="001F6755" w:rsidRDefault="001F6755" w:rsidP="001F6755">
      <w:pPr>
        <w:widowControl w:val="0"/>
        <w:suppressAutoHyphens w:val="0"/>
        <w:spacing w:line="360" w:lineRule="auto"/>
        <w:rPr>
          <w:rFonts w:eastAsia="Times New Roman" w:cs="Times New Roman"/>
          <w:szCs w:val="20"/>
          <w:lang w:val="en-GB" w:eastAsia="tr-TR"/>
        </w:rPr>
      </w:pPr>
      <w:r w:rsidRPr="001F6755">
        <w:rPr>
          <w:rFonts w:eastAsia="Times New Roman" w:cs="Times New Roman"/>
          <w:szCs w:val="20"/>
          <w:lang w:val="en-GB" w:eastAsia="tr-TR"/>
        </w:rPr>
        <w:t xml:space="preserve">In the development process of the Technology Literacy Scale developed by Yigit (2011), five basic categories of Technology Literacy Standards determined by the International Technology Education Association [ITEA] (2000) were </w:t>
      </w:r>
      <w:proofErr w:type="gramStart"/>
      <w:r w:rsidRPr="001F6755">
        <w:rPr>
          <w:rFonts w:eastAsia="Times New Roman" w:cs="Times New Roman"/>
          <w:szCs w:val="20"/>
          <w:lang w:val="en-GB" w:eastAsia="tr-TR"/>
        </w:rPr>
        <w:t>taken into account</w:t>
      </w:r>
      <w:proofErr w:type="gramEnd"/>
      <w:r w:rsidRPr="001F6755">
        <w:rPr>
          <w:rFonts w:eastAsia="Times New Roman" w:cs="Times New Roman"/>
          <w:szCs w:val="20"/>
          <w:lang w:val="en-GB" w:eastAsia="tr-TR"/>
        </w:rPr>
        <w:t>. These five main categories cover “Abilities for a Technological World”, “The Nature of Technology”, “Technology and Society”, “The Designed World” and “Design”. The subcategories describing these five dimensions in technology literacy are given in Table 2.</w:t>
      </w:r>
    </w:p>
    <w:p w:rsidR="001F6755" w:rsidRDefault="001F6755" w:rsidP="001F6755">
      <w:pPr>
        <w:widowControl w:val="0"/>
        <w:suppressAutoHyphens w:val="0"/>
        <w:spacing w:line="360" w:lineRule="auto"/>
        <w:rPr>
          <w:rFonts w:eastAsia="Times New Roman" w:cs="Times New Roman"/>
          <w:szCs w:val="20"/>
          <w:lang w:val="en-GB" w:eastAsia="tr-TR"/>
        </w:rPr>
      </w:pP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sidRPr="00CC1DC5">
        <w:rPr>
          <w:rFonts w:eastAsia="Times New Roman" w:cs="Times New Roman"/>
          <w:szCs w:val="20"/>
          <w:lang w:val="en-GB" w:eastAsia="tr-TR"/>
        </w:rPr>
        <w:t>Table 2. Theoretical Structure of Technology Literacy</w:t>
      </w:r>
    </w:p>
    <w:tbl>
      <w:tblPr>
        <w:tblW w:w="0" w:type="auto"/>
        <w:jc w:val="center"/>
        <w:tblBorders>
          <w:top w:val="single" w:sz="4" w:space="0" w:color="auto"/>
          <w:bottom w:val="single" w:sz="4" w:space="0" w:color="auto"/>
        </w:tblBorders>
        <w:tblLook w:val="01E0" w:firstRow="1" w:lastRow="1" w:firstColumn="1" w:lastColumn="1" w:noHBand="0" w:noVBand="0"/>
      </w:tblPr>
      <w:tblGrid>
        <w:gridCol w:w="9025"/>
      </w:tblGrid>
      <w:tr w:rsidR="001F6755" w:rsidRPr="00CC1DC5" w:rsidTr="001F6755">
        <w:trPr>
          <w:jc w:val="center"/>
        </w:trPr>
        <w:tc>
          <w:tcPr>
            <w:tcW w:w="0" w:type="auto"/>
            <w:tcBorders>
              <w:top w:val="single" w:sz="4" w:space="0" w:color="auto"/>
              <w:bottom w:val="single" w:sz="4" w:space="0" w:color="auto"/>
            </w:tcBorders>
            <w:shd w:val="clear" w:color="auto" w:fill="auto"/>
          </w:tcPr>
          <w:p w:rsidR="001F6755" w:rsidRPr="00CC1DC5" w:rsidRDefault="001F6755" w:rsidP="001F6755">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The Structures of Technology Literacy</w:t>
            </w:r>
          </w:p>
        </w:tc>
      </w:tr>
      <w:tr w:rsidR="001F6755" w:rsidRPr="00CC1DC5" w:rsidTr="001F6755">
        <w:trPr>
          <w:jc w:val="center"/>
        </w:trPr>
        <w:tc>
          <w:tcPr>
            <w:tcW w:w="0" w:type="auto"/>
            <w:tcBorders>
              <w:top w:val="single" w:sz="4" w:space="0" w:color="auto"/>
            </w:tcBorders>
            <w:shd w:val="clear" w:color="auto" w:fill="auto"/>
          </w:tcPr>
          <w:p w:rsidR="001F6755" w:rsidRPr="00CC1DC5" w:rsidRDefault="001F6755" w:rsidP="001F6755">
            <w:pPr>
              <w:widowControl w:val="0"/>
              <w:tabs>
                <w:tab w:val="left" w:pos="709"/>
              </w:tabs>
              <w:autoSpaceDE w:val="0"/>
              <w:autoSpaceDN w:val="0"/>
              <w:adjustRightInd w:val="0"/>
              <w:spacing w:line="360" w:lineRule="auto"/>
              <w:ind w:left="567"/>
              <w:rPr>
                <w:rFonts w:eastAsia="Times New Roman"/>
                <w:bCs/>
                <w:szCs w:val="20"/>
                <w:lang w:val="en-GB"/>
              </w:rPr>
            </w:pPr>
            <w:r w:rsidRPr="00CC1DC5">
              <w:rPr>
                <w:rFonts w:eastAsia="Times New Roman"/>
                <w:szCs w:val="20"/>
                <w:lang w:val="en-GB"/>
              </w:rPr>
              <w:lastRenderedPageBreak/>
              <w:t>Abilities for a Technological World</w:t>
            </w:r>
          </w:p>
        </w:tc>
      </w:tr>
      <w:tr w:rsidR="001F6755" w:rsidRPr="00CC1DC5" w:rsidTr="001F6755">
        <w:trPr>
          <w:jc w:val="center"/>
        </w:trPr>
        <w:tc>
          <w:tcPr>
            <w:tcW w:w="0" w:type="auto"/>
            <w:shd w:val="clear" w:color="auto" w:fill="auto"/>
          </w:tcPr>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Skills to apply the design process</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Skills towards using technological products and systems and ensuring their continuity. </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-Ability to assess the effectiveness of products and systems</w:t>
            </w:r>
          </w:p>
        </w:tc>
      </w:tr>
      <w:tr w:rsidR="001F6755" w:rsidRPr="00CC1DC5" w:rsidTr="001F6755">
        <w:trPr>
          <w:trHeight w:val="68"/>
          <w:jc w:val="center"/>
        </w:trPr>
        <w:tc>
          <w:tcPr>
            <w:tcW w:w="0" w:type="auto"/>
            <w:shd w:val="clear" w:color="auto" w:fill="auto"/>
          </w:tcPr>
          <w:p w:rsidR="001F6755" w:rsidRPr="00CC1DC5" w:rsidRDefault="001F6755" w:rsidP="001F6755">
            <w:pPr>
              <w:widowControl w:val="0"/>
              <w:tabs>
                <w:tab w:val="left" w:pos="709"/>
              </w:tabs>
              <w:autoSpaceDE w:val="0"/>
              <w:autoSpaceDN w:val="0"/>
              <w:adjustRightInd w:val="0"/>
              <w:spacing w:line="360" w:lineRule="auto"/>
              <w:ind w:left="567"/>
              <w:rPr>
                <w:rFonts w:eastAsia="Times New Roman"/>
                <w:bCs/>
                <w:szCs w:val="20"/>
                <w:lang w:val="en-GB"/>
              </w:rPr>
            </w:pPr>
            <w:r w:rsidRPr="00CC1DC5">
              <w:rPr>
                <w:rFonts w:eastAsia="Times New Roman"/>
                <w:szCs w:val="20"/>
                <w:lang w:val="en-GB"/>
              </w:rPr>
              <w:t>The Nature of Technology</w:t>
            </w:r>
          </w:p>
        </w:tc>
      </w:tr>
      <w:tr w:rsidR="001F6755" w:rsidRPr="00CC1DC5" w:rsidTr="001F6755">
        <w:trPr>
          <w:jc w:val="center"/>
        </w:trPr>
        <w:tc>
          <w:tcPr>
            <w:tcW w:w="0" w:type="auto"/>
            <w:shd w:val="clear" w:color="auto" w:fill="auto"/>
          </w:tcPr>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Characteristics and scope of technology</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Basic concepts related to technology </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Various technologies and relations between technology and other fields of work</w:t>
            </w:r>
          </w:p>
        </w:tc>
      </w:tr>
      <w:tr w:rsidR="001F6755" w:rsidRPr="00CC1DC5" w:rsidTr="001F6755">
        <w:trPr>
          <w:trHeight w:val="214"/>
          <w:jc w:val="center"/>
        </w:trPr>
        <w:tc>
          <w:tcPr>
            <w:tcW w:w="0" w:type="auto"/>
            <w:shd w:val="clear" w:color="auto" w:fill="auto"/>
          </w:tcPr>
          <w:p w:rsidR="001F6755" w:rsidRPr="00CC1DC5" w:rsidRDefault="001F6755" w:rsidP="001F6755">
            <w:pPr>
              <w:widowControl w:val="0"/>
              <w:tabs>
                <w:tab w:val="left" w:pos="709"/>
              </w:tabs>
              <w:autoSpaceDE w:val="0"/>
              <w:autoSpaceDN w:val="0"/>
              <w:adjustRightInd w:val="0"/>
              <w:spacing w:line="360" w:lineRule="auto"/>
              <w:ind w:left="567"/>
              <w:rPr>
                <w:rFonts w:eastAsia="Times New Roman"/>
                <w:bCs/>
                <w:szCs w:val="20"/>
                <w:lang w:val="en-GB"/>
              </w:rPr>
            </w:pPr>
            <w:r w:rsidRPr="00CC1DC5">
              <w:rPr>
                <w:rFonts w:eastAsia="Times New Roman"/>
                <w:bCs/>
                <w:szCs w:val="20"/>
                <w:lang w:val="en-GB"/>
              </w:rPr>
              <w:t>The Designed World</w:t>
            </w:r>
          </w:p>
        </w:tc>
      </w:tr>
      <w:tr w:rsidR="001F6755" w:rsidRPr="00CC1DC5" w:rsidTr="001F6755">
        <w:trPr>
          <w:jc w:val="center"/>
        </w:trPr>
        <w:tc>
          <w:tcPr>
            <w:tcW w:w="0" w:type="auto"/>
            <w:shd w:val="clear" w:color="auto" w:fill="auto"/>
          </w:tcPr>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Medical technologies </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Agricultural technology and related biotechnologies</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Energy and power technologies </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Knowledge and communication technologies </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Transportation technologies </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Production technologies </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Construction technologies </w:t>
            </w:r>
          </w:p>
        </w:tc>
      </w:tr>
      <w:tr w:rsidR="001F6755" w:rsidRPr="00CC1DC5" w:rsidTr="001F6755">
        <w:trPr>
          <w:jc w:val="center"/>
        </w:trPr>
        <w:tc>
          <w:tcPr>
            <w:tcW w:w="0" w:type="auto"/>
            <w:shd w:val="clear" w:color="auto" w:fill="auto"/>
          </w:tcPr>
          <w:p w:rsidR="001F6755" w:rsidRPr="00CC1DC5" w:rsidRDefault="001F6755" w:rsidP="001F6755">
            <w:pPr>
              <w:widowControl w:val="0"/>
              <w:tabs>
                <w:tab w:val="left" w:pos="709"/>
              </w:tabs>
              <w:autoSpaceDE w:val="0"/>
              <w:autoSpaceDN w:val="0"/>
              <w:adjustRightInd w:val="0"/>
              <w:spacing w:line="360" w:lineRule="auto"/>
              <w:ind w:left="567"/>
              <w:rPr>
                <w:rFonts w:eastAsia="Times New Roman"/>
                <w:bCs/>
                <w:szCs w:val="20"/>
                <w:lang w:val="en-GB"/>
              </w:rPr>
            </w:pPr>
            <w:r w:rsidRPr="00CC1DC5">
              <w:rPr>
                <w:rFonts w:eastAsia="Times New Roman"/>
                <w:bCs/>
                <w:szCs w:val="20"/>
                <w:lang w:val="en-GB"/>
              </w:rPr>
              <w:t>Design</w:t>
            </w:r>
          </w:p>
        </w:tc>
      </w:tr>
      <w:tr w:rsidR="001F6755" w:rsidRPr="00CC1DC5" w:rsidTr="001F6755">
        <w:trPr>
          <w:jc w:val="center"/>
        </w:trPr>
        <w:tc>
          <w:tcPr>
            <w:tcW w:w="0" w:type="auto"/>
            <w:shd w:val="clear" w:color="auto" w:fill="auto"/>
          </w:tcPr>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Characteristics of design </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Engineering design </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-The role of repair, research and development, inventions and innovations in problem solving process</w:t>
            </w:r>
          </w:p>
        </w:tc>
      </w:tr>
      <w:tr w:rsidR="001F6755" w:rsidRPr="00CC1DC5" w:rsidTr="001F6755">
        <w:trPr>
          <w:jc w:val="center"/>
        </w:trPr>
        <w:tc>
          <w:tcPr>
            <w:tcW w:w="0" w:type="auto"/>
            <w:shd w:val="clear" w:color="auto" w:fill="auto"/>
          </w:tcPr>
          <w:p w:rsidR="001F6755" w:rsidRPr="00CC1DC5" w:rsidRDefault="001F6755" w:rsidP="001F6755">
            <w:pPr>
              <w:widowControl w:val="0"/>
              <w:tabs>
                <w:tab w:val="left" w:pos="709"/>
                <w:tab w:val="right" w:pos="9330"/>
              </w:tabs>
              <w:autoSpaceDE w:val="0"/>
              <w:autoSpaceDN w:val="0"/>
              <w:adjustRightInd w:val="0"/>
              <w:spacing w:line="360" w:lineRule="auto"/>
              <w:ind w:left="567"/>
              <w:rPr>
                <w:rFonts w:eastAsia="Times New Roman"/>
                <w:bCs/>
                <w:szCs w:val="20"/>
                <w:lang w:val="en-GB"/>
              </w:rPr>
            </w:pPr>
            <w:r w:rsidRPr="00CC1DC5">
              <w:rPr>
                <w:rFonts w:eastAsia="Times New Roman"/>
                <w:bCs/>
                <w:szCs w:val="20"/>
                <w:lang w:val="en-GB"/>
              </w:rPr>
              <w:t>Technology and Society</w:t>
            </w:r>
          </w:p>
        </w:tc>
      </w:tr>
      <w:tr w:rsidR="001F6755" w:rsidRPr="00CC1DC5" w:rsidTr="001F6755">
        <w:trPr>
          <w:jc w:val="center"/>
        </w:trPr>
        <w:tc>
          <w:tcPr>
            <w:tcW w:w="0" w:type="auto"/>
            <w:shd w:val="clear" w:color="auto" w:fill="auto"/>
          </w:tcPr>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xml:space="preserve">-  Cultural, social, economic and political effects of technology </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Effects of technology on environment</w:t>
            </w:r>
          </w:p>
          <w:p w:rsidR="001F6755" w:rsidRPr="00CC1DC5" w:rsidRDefault="001F6755" w:rsidP="001F6755">
            <w:pPr>
              <w:tabs>
                <w:tab w:val="left" w:pos="709"/>
              </w:tabs>
              <w:suppressAutoHyphens w:val="0"/>
              <w:autoSpaceDE w:val="0"/>
              <w:autoSpaceDN w:val="0"/>
              <w:adjustRightInd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 The role of society in the development and use of technology</w:t>
            </w:r>
          </w:p>
          <w:p w:rsidR="001F6755" w:rsidRPr="00CC1DC5" w:rsidRDefault="001F6755" w:rsidP="001F67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567" w:firstLine="284"/>
              <w:rPr>
                <w:rFonts w:eastAsia="Times New Roman" w:cs="Times New Roman"/>
                <w:szCs w:val="20"/>
                <w:lang w:val="en-GB" w:eastAsia="tr-TR"/>
              </w:rPr>
            </w:pPr>
            <w:r w:rsidRPr="00CC1DC5">
              <w:rPr>
                <w:rFonts w:eastAsia="Times New Roman" w:cs="Times New Roman"/>
                <w:szCs w:val="20"/>
                <w:lang w:val="en-GB" w:eastAsia="tr-TR"/>
              </w:rPr>
              <w:t>-Effect of technology in history</w:t>
            </w:r>
          </w:p>
        </w:tc>
      </w:tr>
    </w:tbl>
    <w:p w:rsidR="001F6755" w:rsidRDefault="001F6755" w:rsidP="00573DFF">
      <w:pPr>
        <w:widowControl w:val="0"/>
        <w:suppressAutoHyphens w:val="0"/>
        <w:spacing w:line="360" w:lineRule="auto"/>
        <w:rPr>
          <w:rFonts w:eastAsia="Times New Roman" w:cs="Times New Roman"/>
          <w:szCs w:val="20"/>
          <w:lang w:val="en-GB" w:eastAsia="tr-TR"/>
        </w:rPr>
      </w:pPr>
    </w:p>
    <w:p w:rsidR="00573DFF" w:rsidRDefault="00573DFF" w:rsidP="001F6755">
      <w:pPr>
        <w:widowControl w:val="0"/>
        <w:suppressAutoHyphens w:val="0"/>
        <w:spacing w:line="360" w:lineRule="auto"/>
        <w:rPr>
          <w:rFonts w:eastAsia="Times New Roman" w:cs="Times New Roman"/>
          <w:szCs w:val="20"/>
          <w:lang w:val="en-GB" w:eastAsia="tr-TR"/>
        </w:rPr>
      </w:pPr>
      <w:r w:rsidRPr="00573DFF">
        <w:rPr>
          <w:rFonts w:eastAsia="Times New Roman" w:cs="Times New Roman"/>
          <w:szCs w:val="20"/>
          <w:lang w:val="en-GB" w:eastAsia="tr-TR"/>
        </w:rPr>
        <w:t>The reliability of the technology literacy scale was calculated as .88. The sub-dimensions of Technology Literacy Scale and their item numbers are presented in Table 3 below.</w:t>
      </w:r>
    </w:p>
    <w:p w:rsidR="00573DFF" w:rsidRDefault="00573DFF" w:rsidP="00573DFF">
      <w:pPr>
        <w:widowControl w:val="0"/>
        <w:suppressAutoHyphens w:val="0"/>
        <w:spacing w:line="360" w:lineRule="auto"/>
        <w:rPr>
          <w:rFonts w:eastAsia="Times New Roman" w:cs="Times New Roman"/>
          <w:szCs w:val="20"/>
          <w:lang w:val="en-GB" w:eastAsia="tr-TR"/>
        </w:rPr>
      </w:pPr>
    </w:p>
    <w:p w:rsidR="00573DFF" w:rsidRPr="00CC1DC5" w:rsidRDefault="00573DFF" w:rsidP="00573DFF">
      <w:pPr>
        <w:widowControl w:val="0"/>
        <w:tabs>
          <w:tab w:val="left" w:pos="709"/>
        </w:tabs>
        <w:autoSpaceDE w:val="0"/>
        <w:autoSpaceDN w:val="0"/>
        <w:adjustRightInd w:val="0"/>
        <w:spacing w:line="360" w:lineRule="auto"/>
        <w:jc w:val="center"/>
        <w:rPr>
          <w:szCs w:val="20"/>
          <w:lang w:val="en-GB"/>
        </w:rPr>
      </w:pPr>
      <w:r w:rsidRPr="00CC1DC5">
        <w:rPr>
          <w:szCs w:val="20"/>
          <w:lang w:val="en-GB"/>
        </w:rPr>
        <w:t>Table 3. The Sub-Dimensions of Technology Literacy Scale</w:t>
      </w:r>
    </w:p>
    <w:tbl>
      <w:tblPr>
        <w:tblW w:w="0" w:type="auto"/>
        <w:jc w:val="center"/>
        <w:tblBorders>
          <w:top w:val="single" w:sz="4" w:space="0" w:color="auto"/>
          <w:bottom w:val="single" w:sz="4" w:space="0" w:color="auto"/>
        </w:tblBorders>
        <w:tblLook w:val="01E0" w:firstRow="1" w:lastRow="1" w:firstColumn="1" w:lastColumn="1" w:noHBand="0" w:noVBand="0"/>
      </w:tblPr>
      <w:tblGrid>
        <w:gridCol w:w="4088"/>
        <w:gridCol w:w="2283"/>
      </w:tblGrid>
      <w:tr w:rsidR="00573DFF" w:rsidRPr="00CC1DC5" w:rsidTr="005F42BA">
        <w:trPr>
          <w:jc w:val="center"/>
        </w:trPr>
        <w:tc>
          <w:tcPr>
            <w:tcW w:w="0" w:type="auto"/>
            <w:tcBorders>
              <w:top w:val="single" w:sz="4" w:space="0" w:color="auto"/>
              <w:bottom w:val="single" w:sz="4" w:space="0" w:color="auto"/>
            </w:tcBorders>
            <w:shd w:val="clear" w:color="auto" w:fill="auto"/>
          </w:tcPr>
          <w:p w:rsidR="00573DFF" w:rsidRPr="00CC1DC5" w:rsidRDefault="00573DFF" w:rsidP="00573DFF">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The sub-dimensions of technology literacy scale</w:t>
            </w:r>
          </w:p>
        </w:tc>
        <w:tc>
          <w:tcPr>
            <w:tcW w:w="0" w:type="auto"/>
            <w:tcBorders>
              <w:top w:val="single" w:sz="4" w:space="0" w:color="auto"/>
              <w:bottom w:val="single" w:sz="4" w:space="0" w:color="auto"/>
            </w:tcBorders>
            <w:shd w:val="clear" w:color="auto" w:fill="auto"/>
          </w:tcPr>
          <w:p w:rsidR="00573DFF" w:rsidRPr="00CC1DC5" w:rsidRDefault="00573DFF" w:rsidP="00573DFF">
            <w:pPr>
              <w:widowControl w:val="0"/>
              <w:tabs>
                <w:tab w:val="left" w:pos="709"/>
              </w:tabs>
              <w:autoSpaceDE w:val="0"/>
              <w:autoSpaceDN w:val="0"/>
              <w:adjustRightInd w:val="0"/>
              <w:spacing w:line="360" w:lineRule="auto"/>
              <w:jc w:val="center"/>
              <w:rPr>
                <w:rFonts w:eastAsia="Times New Roman"/>
                <w:bCs/>
                <w:szCs w:val="20"/>
                <w:lang w:val="en-GB"/>
              </w:rPr>
            </w:pPr>
            <w:r w:rsidRPr="00CC1DC5">
              <w:rPr>
                <w:rFonts w:eastAsia="Times New Roman"/>
                <w:bCs/>
                <w:szCs w:val="20"/>
                <w:lang w:val="en-GB"/>
              </w:rPr>
              <w:t>Item numbers</w:t>
            </w:r>
          </w:p>
        </w:tc>
      </w:tr>
      <w:tr w:rsidR="00573DFF" w:rsidRPr="00CC1DC5" w:rsidTr="005F42BA">
        <w:trPr>
          <w:jc w:val="center"/>
        </w:trPr>
        <w:tc>
          <w:tcPr>
            <w:tcW w:w="0" w:type="auto"/>
            <w:tcBorders>
              <w:top w:val="single" w:sz="4" w:space="0" w:color="auto"/>
            </w:tcBorders>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bCs/>
                <w:szCs w:val="20"/>
                <w:lang w:val="en-GB"/>
              </w:rPr>
            </w:pPr>
            <w:r w:rsidRPr="00CC1DC5">
              <w:rPr>
                <w:rFonts w:eastAsia="Times New Roman"/>
                <w:szCs w:val="20"/>
                <w:lang w:val="en-GB"/>
              </w:rPr>
              <w:t>Abilities for a Technological World</w:t>
            </w:r>
          </w:p>
        </w:tc>
        <w:tc>
          <w:tcPr>
            <w:tcW w:w="0" w:type="auto"/>
            <w:tcBorders>
              <w:top w:val="single" w:sz="4" w:space="0" w:color="auto"/>
            </w:tcBorders>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1-2-3-4-5-6-7-8-9-10</w:t>
            </w:r>
          </w:p>
        </w:tc>
      </w:tr>
      <w:tr w:rsidR="00573DFF" w:rsidRPr="00CC1DC5" w:rsidTr="005F42BA">
        <w:trPr>
          <w:jc w:val="center"/>
        </w:trPr>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The nature of technology</w:t>
            </w:r>
          </w:p>
        </w:tc>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11-12-13-14-15-16-17-18</w:t>
            </w:r>
          </w:p>
        </w:tc>
      </w:tr>
      <w:tr w:rsidR="00573DFF" w:rsidRPr="00CC1DC5" w:rsidTr="005F42BA">
        <w:trPr>
          <w:jc w:val="center"/>
        </w:trPr>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bCs/>
                <w:szCs w:val="20"/>
                <w:lang w:val="en-GB"/>
              </w:rPr>
              <w:t>The designed world</w:t>
            </w:r>
          </w:p>
        </w:tc>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19-20-21-22-23-24</w:t>
            </w:r>
          </w:p>
        </w:tc>
      </w:tr>
      <w:tr w:rsidR="00573DFF" w:rsidRPr="00CC1DC5" w:rsidTr="005F42BA">
        <w:trPr>
          <w:jc w:val="center"/>
        </w:trPr>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Design</w:t>
            </w:r>
          </w:p>
        </w:tc>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25-26-27-28-29</w:t>
            </w:r>
          </w:p>
        </w:tc>
      </w:tr>
      <w:tr w:rsidR="00573DFF" w:rsidRPr="00CC1DC5" w:rsidTr="005F42BA">
        <w:trPr>
          <w:jc w:val="center"/>
        </w:trPr>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Technology and society</w:t>
            </w:r>
          </w:p>
        </w:tc>
        <w:tc>
          <w:tcPr>
            <w:tcW w:w="0" w:type="auto"/>
            <w:shd w:val="clear" w:color="auto" w:fill="auto"/>
          </w:tcPr>
          <w:p w:rsidR="00573DFF" w:rsidRPr="00CC1DC5" w:rsidRDefault="00573DFF" w:rsidP="00573DFF">
            <w:pPr>
              <w:widowControl w:val="0"/>
              <w:tabs>
                <w:tab w:val="left" w:pos="709"/>
              </w:tabs>
              <w:autoSpaceDE w:val="0"/>
              <w:autoSpaceDN w:val="0"/>
              <w:adjustRightInd w:val="0"/>
              <w:spacing w:line="360" w:lineRule="auto"/>
              <w:rPr>
                <w:rFonts w:eastAsia="Times New Roman"/>
                <w:szCs w:val="20"/>
                <w:lang w:val="en-GB"/>
              </w:rPr>
            </w:pPr>
            <w:r w:rsidRPr="00CC1DC5">
              <w:rPr>
                <w:rFonts w:eastAsia="Times New Roman"/>
                <w:szCs w:val="20"/>
                <w:lang w:val="en-GB"/>
              </w:rPr>
              <w:t>30-31-32-33</w:t>
            </w:r>
          </w:p>
        </w:tc>
      </w:tr>
    </w:tbl>
    <w:p w:rsidR="00573DFF" w:rsidRDefault="00573DFF" w:rsidP="001F6755">
      <w:pPr>
        <w:widowControl w:val="0"/>
        <w:suppressAutoHyphens w:val="0"/>
        <w:spacing w:line="360" w:lineRule="auto"/>
        <w:rPr>
          <w:rFonts w:eastAsia="Times New Roman" w:cs="Times New Roman"/>
          <w:szCs w:val="20"/>
          <w:lang w:val="en-GB" w:eastAsia="tr-TR"/>
        </w:rPr>
      </w:pPr>
    </w:p>
    <w:p w:rsidR="005F42BA" w:rsidRPr="005F42BA" w:rsidRDefault="005F42BA" w:rsidP="005F42BA">
      <w:pPr>
        <w:widowControl w:val="0"/>
        <w:suppressAutoHyphens w:val="0"/>
        <w:spacing w:line="360" w:lineRule="auto"/>
        <w:rPr>
          <w:rFonts w:eastAsia="Times New Roman" w:cs="Times New Roman"/>
          <w:i/>
          <w:szCs w:val="20"/>
          <w:lang w:val="en-GB" w:eastAsia="tr-TR"/>
        </w:rPr>
      </w:pPr>
      <w:r w:rsidRPr="005F42BA">
        <w:rPr>
          <w:rFonts w:eastAsia="Times New Roman" w:cs="Times New Roman"/>
          <w:i/>
          <w:szCs w:val="20"/>
          <w:lang w:val="en-GB" w:eastAsia="tr-TR"/>
        </w:rPr>
        <w:t>Proactive Personality Scale</w:t>
      </w:r>
    </w:p>
    <w:p w:rsidR="005F42BA" w:rsidRPr="005F42BA" w:rsidRDefault="005F42BA" w:rsidP="005F42BA">
      <w:pPr>
        <w:widowControl w:val="0"/>
        <w:suppressAutoHyphens w:val="0"/>
        <w:spacing w:line="360" w:lineRule="auto"/>
        <w:rPr>
          <w:rFonts w:eastAsia="Times New Roman" w:cs="Times New Roman"/>
          <w:szCs w:val="20"/>
          <w:lang w:val="en-GB" w:eastAsia="tr-TR"/>
        </w:rPr>
      </w:pPr>
    </w:p>
    <w:p w:rsidR="005F42BA" w:rsidRDefault="005F42BA" w:rsidP="005F42BA">
      <w:pPr>
        <w:widowControl w:val="0"/>
        <w:suppressAutoHyphens w:val="0"/>
        <w:spacing w:line="360" w:lineRule="auto"/>
        <w:rPr>
          <w:rFonts w:eastAsia="Times New Roman" w:cs="Times New Roman"/>
          <w:szCs w:val="20"/>
          <w:lang w:val="en-GB" w:eastAsia="tr-TR"/>
        </w:rPr>
      </w:pPr>
      <w:r w:rsidRPr="005F42BA">
        <w:rPr>
          <w:rFonts w:eastAsia="Times New Roman" w:cs="Times New Roman"/>
          <w:szCs w:val="20"/>
          <w:lang w:val="en-GB" w:eastAsia="tr-TR"/>
        </w:rPr>
        <w:lastRenderedPageBreak/>
        <w:t>Proactive Personality Scale developed by Bateman and Crant (1993) consists of 17 items and four dimensions. These dimensions are “conscientiousness”, “extroversion”, “the needs for achievement”, and “the needs for dominance”. The total reliability coefficient of the Proactive Personality Scale of Bateman and Crant (1993) was .863. The Proactive Personality Scale was revised by Claes, Beheydt and Lemmens (2005) and included 10 items. The same scale was adapted to Turkish by Akın, Abacı, Kaya and Aracı (2011) and validity and reliability studies were conducted. The scale consists of one dimension and 10 items. The Cronbach alpha internal consistency reliability coefficient of the scale adapted by Akın et al. (2011) was found as .86. The reliability of the scale (Akın et al., 2011) used in this study was calculated as .89 in this study.</w:t>
      </w:r>
    </w:p>
    <w:p w:rsidR="005F42BA" w:rsidRDefault="005F42BA" w:rsidP="005F42BA">
      <w:pPr>
        <w:widowControl w:val="0"/>
        <w:suppressAutoHyphens w:val="0"/>
        <w:spacing w:line="360" w:lineRule="auto"/>
        <w:rPr>
          <w:rFonts w:eastAsia="Times New Roman" w:cs="Times New Roman"/>
          <w:szCs w:val="20"/>
          <w:lang w:val="en-GB" w:eastAsia="tr-TR"/>
        </w:rPr>
      </w:pPr>
    </w:p>
    <w:p w:rsidR="005F42BA" w:rsidRPr="005F42BA" w:rsidRDefault="005F42BA" w:rsidP="005F42BA">
      <w:pPr>
        <w:widowControl w:val="0"/>
        <w:suppressAutoHyphens w:val="0"/>
        <w:spacing w:line="360" w:lineRule="auto"/>
        <w:rPr>
          <w:rFonts w:eastAsia="Times New Roman" w:cs="Times New Roman"/>
          <w:b/>
          <w:szCs w:val="20"/>
          <w:lang w:val="en-GB" w:eastAsia="tr-TR"/>
        </w:rPr>
      </w:pPr>
      <w:r w:rsidRPr="005F42BA">
        <w:rPr>
          <w:rFonts w:eastAsia="Times New Roman" w:cs="Times New Roman"/>
          <w:b/>
          <w:szCs w:val="20"/>
          <w:lang w:val="en-GB" w:eastAsia="tr-TR"/>
        </w:rPr>
        <w:t>Data Analysis</w:t>
      </w:r>
    </w:p>
    <w:p w:rsidR="005F42BA" w:rsidRPr="005F42BA" w:rsidRDefault="005F42BA" w:rsidP="005F42BA">
      <w:pPr>
        <w:widowControl w:val="0"/>
        <w:suppressAutoHyphens w:val="0"/>
        <w:spacing w:line="360" w:lineRule="auto"/>
        <w:rPr>
          <w:rFonts w:eastAsia="Times New Roman" w:cs="Times New Roman"/>
          <w:szCs w:val="20"/>
          <w:lang w:val="en-GB" w:eastAsia="tr-TR"/>
        </w:rPr>
      </w:pPr>
    </w:p>
    <w:p w:rsidR="005F42BA" w:rsidRDefault="005F42BA" w:rsidP="005F42BA">
      <w:pPr>
        <w:widowControl w:val="0"/>
        <w:suppressAutoHyphens w:val="0"/>
        <w:spacing w:line="360" w:lineRule="auto"/>
        <w:rPr>
          <w:rFonts w:eastAsia="Times New Roman" w:cs="Times New Roman"/>
          <w:szCs w:val="20"/>
          <w:lang w:val="en-GB" w:eastAsia="tr-TR"/>
        </w:rPr>
      </w:pPr>
      <w:r w:rsidRPr="005F42BA">
        <w:rPr>
          <w:rFonts w:eastAsia="Times New Roman" w:cs="Times New Roman"/>
          <w:szCs w:val="20"/>
          <w:lang w:val="en-GB" w:eastAsia="tr-TR"/>
        </w:rPr>
        <w:t xml:space="preserve">Descriptive statistics were used to determine the technology literacy and proactive personality levels of secondary school mathematics teachers (1st and 2nd sub problems). The skewness and kurtosis coefficients of the variables were examined. The skewness and kurtosis coefficients between +1 and -1 are considered as an indicator of normality (Şencan, 2006). It was determined that the general scores of the variables ranged between .527 and .60. After analyzing the normality, descriptive statistics, Pearson product-moment correlation coefficient and simple linear regression analyses were used to analyse the data. When interpreting the values in terms of the degree ofrelationships, it was determined </w:t>
      </w:r>
      <w:proofErr w:type="gramStart"/>
      <w:r w:rsidRPr="005F42BA">
        <w:rPr>
          <w:rFonts w:eastAsia="Times New Roman" w:cs="Times New Roman"/>
          <w:szCs w:val="20"/>
          <w:lang w:val="en-GB" w:eastAsia="tr-TR"/>
        </w:rPr>
        <w:t>as  .</w:t>
      </w:r>
      <w:proofErr w:type="gramEnd"/>
      <w:r w:rsidRPr="005F42BA">
        <w:rPr>
          <w:rFonts w:eastAsia="Times New Roman" w:cs="Times New Roman"/>
          <w:szCs w:val="20"/>
          <w:lang w:val="en-GB" w:eastAsia="tr-TR"/>
        </w:rPr>
        <w:t>00&lt;r &lt;.25 very weak relationship, .26 &lt;r &lt;.49 weak relationship, .50&lt;r&lt;.69 medium relationship, .70 &lt;r &lt;.89 high relationship, .90 &lt;r &lt;1.00 very high relationship (Kalaycı, 2016).</w:t>
      </w:r>
    </w:p>
    <w:p w:rsidR="005F42BA" w:rsidRDefault="005F42BA" w:rsidP="005F42BA">
      <w:pPr>
        <w:widowControl w:val="0"/>
        <w:suppressAutoHyphens w:val="0"/>
        <w:spacing w:line="360" w:lineRule="auto"/>
        <w:rPr>
          <w:rFonts w:eastAsia="Times New Roman" w:cs="Times New Roman"/>
          <w:szCs w:val="20"/>
          <w:lang w:val="en-GB" w:eastAsia="tr-TR"/>
        </w:rPr>
      </w:pPr>
    </w:p>
    <w:p w:rsidR="005F42BA" w:rsidRPr="005F42BA" w:rsidRDefault="005F42BA" w:rsidP="005F42BA">
      <w:pPr>
        <w:widowControl w:val="0"/>
        <w:suppressAutoHyphens w:val="0"/>
        <w:spacing w:line="360" w:lineRule="auto"/>
        <w:rPr>
          <w:rFonts w:eastAsia="Times New Roman" w:cs="Times New Roman"/>
          <w:sz w:val="24"/>
          <w:szCs w:val="24"/>
          <w:lang w:val="en-GB" w:eastAsia="tr-TR"/>
        </w:rPr>
      </w:pPr>
      <w:r w:rsidRPr="005F42BA">
        <w:rPr>
          <w:rFonts w:eastAsia="Times New Roman" w:cs="Times New Roman"/>
          <w:sz w:val="24"/>
          <w:szCs w:val="24"/>
          <w:lang w:val="en-GB" w:eastAsia="tr-TR"/>
        </w:rPr>
        <w:t>Results</w:t>
      </w:r>
    </w:p>
    <w:p w:rsidR="005F42BA" w:rsidRPr="005F42BA" w:rsidRDefault="005F42BA" w:rsidP="005F42BA">
      <w:pPr>
        <w:widowControl w:val="0"/>
        <w:suppressAutoHyphens w:val="0"/>
        <w:spacing w:line="360" w:lineRule="auto"/>
        <w:rPr>
          <w:rFonts w:eastAsia="Times New Roman" w:cs="Times New Roman"/>
          <w:sz w:val="24"/>
          <w:szCs w:val="24"/>
          <w:lang w:val="en-GB" w:eastAsia="tr-TR"/>
        </w:rPr>
      </w:pPr>
    </w:p>
    <w:p w:rsidR="005F42BA" w:rsidRPr="005F42BA" w:rsidRDefault="005F42BA" w:rsidP="005F42BA">
      <w:pPr>
        <w:widowControl w:val="0"/>
        <w:suppressAutoHyphens w:val="0"/>
        <w:spacing w:line="360" w:lineRule="auto"/>
        <w:rPr>
          <w:rFonts w:eastAsia="Times New Roman" w:cs="Times New Roman"/>
          <w:szCs w:val="20"/>
          <w:lang w:val="en-GB" w:eastAsia="tr-TR"/>
        </w:rPr>
      </w:pPr>
      <w:r w:rsidRPr="005F42BA">
        <w:rPr>
          <w:rFonts w:eastAsia="Times New Roman" w:cs="Times New Roman"/>
          <w:szCs w:val="20"/>
          <w:lang w:val="en-GB" w:eastAsia="tr-TR"/>
        </w:rPr>
        <w:t xml:space="preserve">The data obtained from the Technology Literacy Scale and Proactive Personality Scale were analyzed by appropriate quantitative data analysis techniques to answer the sub-problems. The findings of the data analysis are given below and also presented with tables </w:t>
      </w:r>
    </w:p>
    <w:p w:rsidR="005F42BA" w:rsidRPr="005F42BA" w:rsidRDefault="005F42BA" w:rsidP="005F42BA">
      <w:pPr>
        <w:widowControl w:val="0"/>
        <w:suppressAutoHyphens w:val="0"/>
        <w:spacing w:line="360" w:lineRule="auto"/>
        <w:rPr>
          <w:rFonts w:eastAsia="Times New Roman" w:cs="Times New Roman"/>
          <w:szCs w:val="20"/>
          <w:lang w:val="en-GB" w:eastAsia="tr-TR"/>
        </w:rPr>
      </w:pPr>
    </w:p>
    <w:p w:rsidR="005F42BA" w:rsidRPr="005F42BA" w:rsidRDefault="005F42BA" w:rsidP="005F42BA">
      <w:pPr>
        <w:widowControl w:val="0"/>
        <w:suppressAutoHyphens w:val="0"/>
        <w:spacing w:line="360" w:lineRule="auto"/>
        <w:rPr>
          <w:rFonts w:eastAsia="Times New Roman" w:cs="Times New Roman"/>
          <w:b/>
          <w:szCs w:val="20"/>
          <w:lang w:val="en-GB" w:eastAsia="tr-TR"/>
        </w:rPr>
      </w:pPr>
      <w:r w:rsidRPr="005F42BA">
        <w:rPr>
          <w:rFonts w:eastAsia="Times New Roman" w:cs="Times New Roman"/>
          <w:b/>
          <w:szCs w:val="20"/>
          <w:lang w:val="en-GB" w:eastAsia="tr-TR"/>
        </w:rPr>
        <w:t>Technology Literacy Levels of Secondary School Mathematics Teachers</w:t>
      </w:r>
    </w:p>
    <w:p w:rsidR="005F42BA" w:rsidRPr="005F42BA" w:rsidRDefault="005F42BA" w:rsidP="005F42BA">
      <w:pPr>
        <w:widowControl w:val="0"/>
        <w:suppressAutoHyphens w:val="0"/>
        <w:spacing w:line="360" w:lineRule="auto"/>
        <w:rPr>
          <w:rFonts w:eastAsia="Times New Roman" w:cs="Times New Roman"/>
          <w:szCs w:val="20"/>
          <w:lang w:val="en-GB" w:eastAsia="tr-TR"/>
        </w:rPr>
      </w:pPr>
    </w:p>
    <w:p w:rsidR="005F42BA" w:rsidRDefault="005F42BA" w:rsidP="005F42BA">
      <w:pPr>
        <w:widowControl w:val="0"/>
        <w:suppressAutoHyphens w:val="0"/>
        <w:spacing w:line="360" w:lineRule="auto"/>
        <w:rPr>
          <w:rFonts w:eastAsia="Times New Roman" w:cs="Times New Roman"/>
          <w:szCs w:val="20"/>
          <w:lang w:val="en-GB" w:eastAsia="tr-TR"/>
        </w:rPr>
      </w:pPr>
      <w:r w:rsidRPr="005F42BA">
        <w:rPr>
          <w:rFonts w:eastAsia="Times New Roman" w:cs="Times New Roman"/>
          <w:szCs w:val="20"/>
          <w:lang w:val="en-GB" w:eastAsia="tr-TR"/>
        </w:rPr>
        <w:t>The results obtained from descriptive statistical analysis techniques in order to answer the first sub-problem of the study are given in Table 4.</w:t>
      </w:r>
    </w:p>
    <w:p w:rsidR="005F42BA" w:rsidRDefault="005F42BA" w:rsidP="005F42BA">
      <w:pPr>
        <w:widowControl w:val="0"/>
        <w:suppressAutoHyphens w:val="0"/>
        <w:spacing w:line="360" w:lineRule="auto"/>
        <w:rPr>
          <w:rFonts w:eastAsia="Times New Roman" w:cs="Times New Roman"/>
          <w:szCs w:val="20"/>
          <w:lang w:val="en-GB" w:eastAsia="tr-TR"/>
        </w:rPr>
      </w:pPr>
    </w:p>
    <w:p w:rsidR="005F42BA" w:rsidRPr="00CC1DC5" w:rsidRDefault="005F42BA" w:rsidP="005F42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sidRPr="00CC1DC5">
        <w:rPr>
          <w:rFonts w:eastAsia="Times New Roman" w:cs="Times New Roman"/>
          <w:szCs w:val="20"/>
          <w:lang w:val="en-GB" w:eastAsia="tr-TR"/>
        </w:rPr>
        <w:t>Table 4. Technology Literacy Levels according to Secondary School Mathematics Teachers' Perceptions</w:t>
      </w:r>
    </w:p>
    <w:tbl>
      <w:tblPr>
        <w:tblW w:w="0" w:type="auto"/>
        <w:jc w:val="center"/>
        <w:tblBorders>
          <w:top w:val="single" w:sz="4" w:space="0" w:color="auto"/>
          <w:bottom w:val="single" w:sz="4" w:space="0" w:color="auto"/>
        </w:tblBorders>
        <w:tblLook w:val="01E0" w:firstRow="1" w:lastRow="1" w:firstColumn="1" w:lastColumn="1" w:noHBand="0" w:noVBand="0"/>
      </w:tblPr>
      <w:tblGrid>
        <w:gridCol w:w="1888"/>
        <w:gridCol w:w="516"/>
        <w:gridCol w:w="566"/>
        <w:gridCol w:w="566"/>
        <w:gridCol w:w="566"/>
        <w:gridCol w:w="466"/>
        <w:gridCol w:w="672"/>
      </w:tblGrid>
      <w:tr w:rsidR="005F42BA" w:rsidRPr="00CC1DC5" w:rsidTr="005F42BA">
        <w:trPr>
          <w:jc w:val="center"/>
        </w:trPr>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n</w:t>
            </w:r>
          </w:p>
        </w:tc>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min</w:t>
            </w:r>
          </w:p>
        </w:tc>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max</w:t>
            </w:r>
          </w:p>
        </w:tc>
        <w:tc>
          <w:tcPr>
            <w:tcW w:w="0" w:type="auto"/>
            <w:tcBorders>
              <w:top w:val="single" w:sz="4" w:space="0" w:color="auto"/>
              <w:bottom w:val="single" w:sz="4" w:space="0" w:color="auto"/>
            </w:tcBorders>
            <w:shd w:val="clear" w:color="auto" w:fill="auto"/>
          </w:tcPr>
          <w:p w:rsidR="005F42BA" w:rsidRPr="00CC1DC5" w:rsidRDefault="0065101E" w:rsidP="005F42BA">
            <w:pPr>
              <w:widowControl w:val="0"/>
              <w:tabs>
                <w:tab w:val="left" w:pos="709"/>
              </w:tabs>
              <w:autoSpaceDE w:val="0"/>
              <w:autoSpaceDN w:val="0"/>
              <w:adjustRightInd w:val="0"/>
              <w:spacing w:line="360" w:lineRule="auto"/>
              <w:jc w:val="center"/>
              <w:rPr>
                <w:rFonts w:eastAsia="Times New Roman"/>
                <w:szCs w:val="20"/>
                <w:lang w:val="en-GB"/>
              </w:rPr>
            </w:pPr>
            <m:oMathPara>
              <m:oMath>
                <m:acc>
                  <m:accPr>
                    <m:chr m:val="̅"/>
                    <m:ctrlPr>
                      <w:rPr>
                        <w:rFonts w:ascii="Cambria Math" w:hAnsi="Cambria Math"/>
                        <w:i/>
                        <w:szCs w:val="20"/>
                        <w:lang w:val="en-GB"/>
                      </w:rPr>
                    </m:ctrlPr>
                  </m:accPr>
                  <m:e>
                    <m:r>
                      <w:rPr>
                        <w:rFonts w:ascii="Cambria Math" w:hAnsi="Cambria Math"/>
                        <w:szCs w:val="20"/>
                        <w:lang w:val="en-GB"/>
                      </w:rPr>
                      <m:t>x</m:t>
                    </m:r>
                  </m:e>
                </m:acc>
              </m:oMath>
            </m:oMathPara>
          </w:p>
        </w:tc>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Sd</w:t>
            </w:r>
          </w:p>
        </w:tc>
        <w:tc>
          <w:tcPr>
            <w:tcW w:w="0" w:type="auto"/>
            <w:tcBorders>
              <w:top w:val="single" w:sz="4" w:space="0" w:color="auto"/>
              <w:bottom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Level</w:t>
            </w:r>
          </w:p>
        </w:tc>
      </w:tr>
      <w:tr w:rsidR="005F42BA" w:rsidRPr="00CC1DC5" w:rsidTr="005F42BA">
        <w:trPr>
          <w:jc w:val="center"/>
        </w:trPr>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Technology Literacy</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380</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1.21</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7.76</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6.11</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.74</w:t>
            </w:r>
          </w:p>
        </w:tc>
        <w:tc>
          <w:tcPr>
            <w:tcW w:w="0" w:type="auto"/>
            <w:tcBorders>
              <w:top w:val="single" w:sz="4" w:space="0" w:color="auto"/>
            </w:tcBorders>
            <w:shd w:val="clear" w:color="auto" w:fill="auto"/>
          </w:tcPr>
          <w:p w:rsidR="005F42BA" w:rsidRPr="00CC1DC5" w:rsidRDefault="005F42BA" w:rsidP="005F42BA">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High</w:t>
            </w:r>
          </w:p>
        </w:tc>
      </w:tr>
    </w:tbl>
    <w:p w:rsidR="005F42BA" w:rsidRDefault="005F42BA" w:rsidP="005F42BA">
      <w:pPr>
        <w:widowControl w:val="0"/>
        <w:suppressAutoHyphens w:val="0"/>
        <w:spacing w:line="360" w:lineRule="auto"/>
        <w:rPr>
          <w:rFonts w:eastAsia="Times New Roman" w:cs="Times New Roman"/>
          <w:szCs w:val="20"/>
          <w:lang w:val="en-GB" w:eastAsia="tr-TR"/>
        </w:rPr>
      </w:pPr>
    </w:p>
    <w:p w:rsidR="005F42BA" w:rsidRDefault="005F42BA" w:rsidP="005F42BA">
      <w:pPr>
        <w:widowControl w:val="0"/>
        <w:suppressAutoHyphens w:val="0"/>
        <w:spacing w:line="360" w:lineRule="auto"/>
        <w:rPr>
          <w:rFonts w:eastAsia="Times New Roman" w:cs="Times New Roman"/>
          <w:szCs w:val="20"/>
          <w:lang w:val="en-GB" w:eastAsia="tr-TR"/>
        </w:rPr>
      </w:pPr>
      <w:r w:rsidRPr="005F42BA">
        <w:rPr>
          <w:rFonts w:eastAsia="Times New Roman" w:cs="Times New Roman"/>
          <w:szCs w:val="20"/>
          <w:lang w:val="en-GB" w:eastAsia="tr-TR"/>
        </w:rPr>
        <w:t xml:space="preserve">Secondary school mathematics teachers' perceptions of technology literacy were rated with a 9-point Likert-type (extremely low, very low, low, slightly low, medium, slightly high, high, very high, extremely high) scale. Arithmetic means of the secondary school mathematics teacher perceptions were examined. Teachers' perceptions were at the 7th level among 9 levels (since the 7th level range is between 5.34-6.23, the 6.11 average is at the 7th level). The secondary school mathematics teachers’ perceptions about their technology literacy are high. The </w:t>
      </w:r>
      <w:r w:rsidRPr="005F42BA">
        <w:rPr>
          <w:rFonts w:eastAsia="Times New Roman" w:cs="Times New Roman"/>
          <w:szCs w:val="20"/>
          <w:lang w:val="en-GB" w:eastAsia="tr-TR"/>
        </w:rPr>
        <w:lastRenderedPageBreak/>
        <w:t>items in which secondary school mathematics teachers have the most positive perception on technology literacy scale are given in Table 5.</w:t>
      </w:r>
    </w:p>
    <w:p w:rsidR="005F42BA" w:rsidRDefault="005F42BA" w:rsidP="005F42BA">
      <w:pPr>
        <w:widowControl w:val="0"/>
        <w:suppressAutoHyphens w:val="0"/>
        <w:spacing w:line="360" w:lineRule="auto"/>
        <w:rPr>
          <w:rFonts w:eastAsia="Times New Roman" w:cs="Times New Roman"/>
          <w:szCs w:val="20"/>
          <w:lang w:val="en-GB" w:eastAsia="tr-TR"/>
        </w:rPr>
      </w:pPr>
    </w:p>
    <w:p w:rsidR="005F42BA" w:rsidRPr="00CC1DC5" w:rsidRDefault="005F42BA" w:rsidP="005F42BA">
      <w:pPr>
        <w:widowControl w:val="0"/>
        <w:tabs>
          <w:tab w:val="left" w:pos="709"/>
        </w:tabs>
        <w:autoSpaceDE w:val="0"/>
        <w:autoSpaceDN w:val="0"/>
        <w:adjustRightInd w:val="0"/>
        <w:spacing w:line="360" w:lineRule="auto"/>
        <w:jc w:val="center"/>
        <w:rPr>
          <w:szCs w:val="20"/>
          <w:lang w:val="en-GB"/>
        </w:rPr>
      </w:pPr>
      <w:r w:rsidRPr="00CC1DC5">
        <w:rPr>
          <w:szCs w:val="20"/>
          <w:lang w:val="en-GB"/>
        </w:rPr>
        <w:t>Table 5. Items which have Highest Mean</w:t>
      </w:r>
      <w:r>
        <w:rPr>
          <w:szCs w:val="20"/>
          <w:lang w:val="en-GB"/>
        </w:rPr>
        <w:t>s</w:t>
      </w:r>
      <w:r w:rsidRPr="00CC1DC5">
        <w:rPr>
          <w:szCs w:val="20"/>
          <w:lang w:val="en-GB"/>
        </w:rPr>
        <w:t xml:space="preserve"> </w:t>
      </w:r>
      <w:r>
        <w:rPr>
          <w:szCs w:val="20"/>
          <w:lang w:val="en-GB"/>
        </w:rPr>
        <w:t>in</w:t>
      </w:r>
      <w:r w:rsidRPr="00CC1DC5">
        <w:rPr>
          <w:szCs w:val="20"/>
          <w:lang w:val="en-GB"/>
        </w:rPr>
        <w:t xml:space="preserve"> Technology Literacy Scale</w:t>
      </w:r>
    </w:p>
    <w:tbl>
      <w:tblPr>
        <w:tblW w:w="0" w:type="auto"/>
        <w:jc w:val="center"/>
        <w:tblBorders>
          <w:top w:val="single" w:sz="4" w:space="0" w:color="000000"/>
          <w:bottom w:val="single" w:sz="4" w:space="0" w:color="000000"/>
        </w:tblBorders>
        <w:tblCellMar>
          <w:left w:w="0" w:type="dxa"/>
          <w:right w:w="0" w:type="dxa"/>
        </w:tblCellMar>
        <w:tblLook w:val="0000" w:firstRow="0" w:lastRow="0" w:firstColumn="0" w:lastColumn="0" w:noHBand="0" w:noVBand="0"/>
      </w:tblPr>
      <w:tblGrid>
        <w:gridCol w:w="5755"/>
        <w:gridCol w:w="425"/>
        <w:gridCol w:w="475"/>
        <w:gridCol w:w="575"/>
        <w:gridCol w:w="1385"/>
      </w:tblGrid>
      <w:tr w:rsidR="005F42BA" w:rsidRPr="00CC1DC5" w:rsidTr="005F42BA">
        <w:trPr>
          <w:cantSplit/>
          <w:jc w:val="center"/>
        </w:trPr>
        <w:tc>
          <w:tcPr>
            <w:tcW w:w="0" w:type="auto"/>
            <w:tcBorders>
              <w:top w:val="single" w:sz="4" w:space="0" w:color="000000"/>
              <w:bottom w:val="single" w:sz="4" w:space="0" w:color="000000"/>
            </w:tcBorders>
            <w:shd w:val="clear" w:color="auto" w:fill="FFFFFF"/>
          </w:tcPr>
          <w:p w:rsidR="005F42BA" w:rsidRPr="00CC1DC5" w:rsidRDefault="005F42BA" w:rsidP="005F42BA">
            <w:pPr>
              <w:tabs>
                <w:tab w:val="left" w:pos="709"/>
              </w:tabs>
              <w:autoSpaceDE w:val="0"/>
              <w:autoSpaceDN w:val="0"/>
              <w:adjustRightInd w:val="0"/>
              <w:spacing w:line="360" w:lineRule="auto"/>
              <w:ind w:left="62" w:right="62"/>
              <w:rPr>
                <w:szCs w:val="20"/>
                <w:lang w:val="en-GB"/>
              </w:rPr>
            </w:pPr>
          </w:p>
        </w:tc>
        <w:tc>
          <w:tcPr>
            <w:tcW w:w="0" w:type="auto"/>
            <w:tcBorders>
              <w:top w:val="single" w:sz="4" w:space="0" w:color="000000"/>
              <w:bottom w:val="single" w:sz="4" w:space="0" w:color="000000"/>
            </w:tcBorders>
            <w:shd w:val="clear" w:color="auto" w:fill="FFFFFF"/>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n</w:t>
            </w:r>
          </w:p>
        </w:tc>
        <w:tc>
          <w:tcPr>
            <w:tcW w:w="0" w:type="auto"/>
            <w:tcBorders>
              <w:top w:val="single" w:sz="4" w:space="0" w:color="000000"/>
              <w:bottom w:val="single" w:sz="4" w:space="0" w:color="000000"/>
            </w:tcBorders>
            <w:shd w:val="clear" w:color="auto" w:fill="FFFFFF"/>
          </w:tcPr>
          <w:p w:rsidR="005F42BA" w:rsidRPr="00CC1DC5" w:rsidRDefault="0065101E" w:rsidP="005F42BA">
            <w:pPr>
              <w:tabs>
                <w:tab w:val="left" w:pos="709"/>
              </w:tabs>
              <w:autoSpaceDE w:val="0"/>
              <w:autoSpaceDN w:val="0"/>
              <w:adjustRightInd w:val="0"/>
              <w:spacing w:line="360" w:lineRule="auto"/>
              <w:ind w:left="62" w:right="62"/>
              <w:jc w:val="center"/>
              <w:rPr>
                <w:szCs w:val="20"/>
                <w:lang w:val="en-GB"/>
              </w:rPr>
            </w:pPr>
            <m:oMathPara>
              <m:oMath>
                <m:acc>
                  <m:accPr>
                    <m:chr m:val="̅"/>
                    <m:ctrlPr>
                      <w:rPr>
                        <w:rFonts w:ascii="Cambria Math" w:hAnsi="Cambria Math"/>
                        <w:i/>
                        <w:szCs w:val="20"/>
                        <w:lang w:val="en-GB"/>
                      </w:rPr>
                    </m:ctrlPr>
                  </m:accPr>
                  <m:e>
                    <m:r>
                      <w:rPr>
                        <w:rFonts w:ascii="Cambria Math" w:hAnsi="Cambria Math"/>
                        <w:szCs w:val="20"/>
                        <w:lang w:val="en-GB"/>
                      </w:rPr>
                      <m:t>x</m:t>
                    </m:r>
                  </m:e>
                </m:acc>
              </m:oMath>
            </m:oMathPara>
          </w:p>
        </w:tc>
        <w:tc>
          <w:tcPr>
            <w:tcW w:w="0" w:type="auto"/>
            <w:tcBorders>
              <w:top w:val="single" w:sz="4" w:space="0" w:color="000000"/>
              <w:bottom w:val="single" w:sz="4" w:space="0" w:color="000000"/>
            </w:tcBorders>
            <w:shd w:val="clear" w:color="auto" w:fill="FFFFFF"/>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Sd</w:t>
            </w:r>
          </w:p>
        </w:tc>
        <w:tc>
          <w:tcPr>
            <w:tcW w:w="0" w:type="auto"/>
            <w:tcBorders>
              <w:top w:val="single" w:sz="4" w:space="0" w:color="000000"/>
              <w:bottom w:val="single" w:sz="4" w:space="0" w:color="000000"/>
            </w:tcBorders>
            <w:shd w:val="clear" w:color="auto" w:fill="FFFFFF"/>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Level</w:t>
            </w:r>
          </w:p>
        </w:tc>
      </w:tr>
      <w:tr w:rsidR="005F42BA" w:rsidRPr="00CC1DC5" w:rsidTr="005F42BA">
        <w:trPr>
          <w:cantSplit/>
          <w:jc w:val="center"/>
        </w:trPr>
        <w:tc>
          <w:tcPr>
            <w:tcW w:w="0" w:type="auto"/>
            <w:tcBorders>
              <w:top w:val="single" w:sz="4" w:space="0" w:color="000000"/>
            </w:tcBorders>
            <w:shd w:val="clear" w:color="auto" w:fill="FFFFFF"/>
            <w:vAlign w:val="center"/>
          </w:tcPr>
          <w:p w:rsidR="005F42BA" w:rsidRPr="00CC1DC5" w:rsidRDefault="005F42BA" w:rsidP="005F42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39) Technological designs must be functional.</w:t>
            </w:r>
          </w:p>
        </w:tc>
        <w:tc>
          <w:tcPr>
            <w:tcW w:w="0" w:type="auto"/>
            <w:tcBorders>
              <w:top w:val="single" w:sz="4" w:space="0" w:color="000000"/>
            </w:tcBorders>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tcBorders>
              <w:top w:val="single" w:sz="4" w:space="0" w:color="000000"/>
            </w:tcBorders>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7.30</w:t>
            </w:r>
          </w:p>
        </w:tc>
        <w:tc>
          <w:tcPr>
            <w:tcW w:w="0" w:type="auto"/>
            <w:tcBorders>
              <w:top w:val="single" w:sz="4" w:space="0" w:color="000000"/>
            </w:tcBorders>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1.123</w:t>
            </w:r>
          </w:p>
        </w:tc>
        <w:tc>
          <w:tcPr>
            <w:tcW w:w="0" w:type="auto"/>
            <w:tcBorders>
              <w:top w:val="single" w:sz="4" w:space="0" w:color="000000"/>
            </w:tcBorders>
            <w:shd w:val="clear" w:color="auto" w:fill="FFFFFF"/>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Advanced High</w:t>
            </w:r>
          </w:p>
        </w:tc>
      </w:tr>
      <w:tr w:rsidR="005F42BA" w:rsidRPr="00CC1DC5" w:rsidTr="005F42BA">
        <w:trPr>
          <w:cantSplit/>
          <w:jc w:val="center"/>
        </w:trPr>
        <w:tc>
          <w:tcPr>
            <w:tcW w:w="0" w:type="auto"/>
            <w:shd w:val="clear" w:color="auto" w:fill="FFFFFF"/>
            <w:vAlign w:val="center"/>
          </w:tcPr>
          <w:p w:rsidR="005F42BA" w:rsidRPr="00CC1DC5" w:rsidRDefault="005F42BA" w:rsidP="005F42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40) Defining the problem is an important element of the design process.</w:t>
            </w:r>
          </w:p>
        </w:tc>
        <w:tc>
          <w:tcPr>
            <w:tcW w:w="0" w:type="auto"/>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7.17</w:t>
            </w:r>
          </w:p>
        </w:tc>
        <w:tc>
          <w:tcPr>
            <w:tcW w:w="0" w:type="auto"/>
            <w:shd w:val="clear" w:color="auto" w:fill="FFFFFF"/>
            <w:vAlign w:val="center"/>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1.218</w:t>
            </w:r>
          </w:p>
        </w:tc>
        <w:tc>
          <w:tcPr>
            <w:tcW w:w="0" w:type="auto"/>
            <w:shd w:val="clear" w:color="auto" w:fill="FFFFFF"/>
          </w:tcPr>
          <w:p w:rsidR="005F42BA" w:rsidRPr="00CC1DC5" w:rsidRDefault="005F42BA" w:rsidP="005F42BA">
            <w:pPr>
              <w:tabs>
                <w:tab w:val="left" w:pos="709"/>
              </w:tabs>
              <w:autoSpaceDE w:val="0"/>
              <w:autoSpaceDN w:val="0"/>
              <w:adjustRightInd w:val="0"/>
              <w:spacing w:line="360" w:lineRule="auto"/>
              <w:ind w:left="62" w:right="62"/>
              <w:jc w:val="center"/>
              <w:rPr>
                <w:szCs w:val="20"/>
                <w:lang w:val="en-GB"/>
              </w:rPr>
            </w:pPr>
            <w:r w:rsidRPr="00CC1DC5">
              <w:rPr>
                <w:szCs w:val="20"/>
                <w:lang w:val="en-GB"/>
              </w:rPr>
              <w:t>Advanced High</w:t>
            </w:r>
          </w:p>
        </w:tc>
      </w:tr>
    </w:tbl>
    <w:p w:rsidR="005F42BA" w:rsidRDefault="005F42BA" w:rsidP="005F42BA">
      <w:pPr>
        <w:widowControl w:val="0"/>
        <w:tabs>
          <w:tab w:val="left" w:pos="709"/>
        </w:tabs>
        <w:autoSpaceDE w:val="0"/>
        <w:autoSpaceDN w:val="0"/>
        <w:adjustRightInd w:val="0"/>
        <w:spacing w:line="360" w:lineRule="auto"/>
        <w:rPr>
          <w:szCs w:val="20"/>
          <w:lang w:val="en-GB"/>
        </w:rPr>
      </w:pPr>
    </w:p>
    <w:p w:rsidR="005F42BA" w:rsidRDefault="005F42BA" w:rsidP="005F42BA">
      <w:pPr>
        <w:widowControl w:val="0"/>
        <w:tabs>
          <w:tab w:val="left" w:pos="709"/>
        </w:tabs>
        <w:autoSpaceDE w:val="0"/>
        <w:autoSpaceDN w:val="0"/>
        <w:adjustRightInd w:val="0"/>
        <w:spacing w:line="360" w:lineRule="auto"/>
        <w:rPr>
          <w:szCs w:val="20"/>
          <w:lang w:val="en-GB"/>
        </w:rPr>
      </w:pPr>
      <w:r w:rsidRPr="005F42BA">
        <w:rPr>
          <w:szCs w:val="20"/>
          <w:lang w:val="en-GB"/>
        </w:rPr>
        <w:t>According to Table 5 the participant teachers' perceptions of the items expressing that technological designs should be functional and the stage of defining the problem in the design process is an important element were extremely high. According to the perceptions of secondary school mathematics teachers, the item that has the lowest level related to technology literacy was “All systems are readily available in nature” (x ̅=4.04, Sd=2.419, medium level).</w:t>
      </w:r>
    </w:p>
    <w:p w:rsidR="005F42BA" w:rsidRDefault="005F42BA" w:rsidP="005F42BA">
      <w:pPr>
        <w:widowControl w:val="0"/>
        <w:tabs>
          <w:tab w:val="left" w:pos="709"/>
        </w:tabs>
        <w:autoSpaceDE w:val="0"/>
        <w:autoSpaceDN w:val="0"/>
        <w:adjustRightInd w:val="0"/>
        <w:spacing w:line="360" w:lineRule="auto"/>
        <w:rPr>
          <w:szCs w:val="20"/>
          <w:lang w:val="en-GB"/>
        </w:rPr>
      </w:pPr>
    </w:p>
    <w:p w:rsidR="005F42BA" w:rsidRPr="005F42BA" w:rsidRDefault="005F42BA" w:rsidP="005F42BA">
      <w:pPr>
        <w:widowControl w:val="0"/>
        <w:tabs>
          <w:tab w:val="left" w:pos="709"/>
        </w:tabs>
        <w:autoSpaceDE w:val="0"/>
        <w:autoSpaceDN w:val="0"/>
        <w:adjustRightInd w:val="0"/>
        <w:spacing w:line="360" w:lineRule="auto"/>
        <w:rPr>
          <w:b/>
          <w:szCs w:val="20"/>
          <w:lang w:val="en-GB"/>
        </w:rPr>
      </w:pPr>
      <w:r w:rsidRPr="005F42BA">
        <w:rPr>
          <w:b/>
          <w:szCs w:val="20"/>
          <w:lang w:val="en-GB"/>
        </w:rPr>
        <w:t>Proactive Personality Levels of Secondary School Mathematics Teachers</w:t>
      </w:r>
    </w:p>
    <w:p w:rsidR="005F42BA" w:rsidRPr="005F42BA" w:rsidRDefault="005F42BA" w:rsidP="005F42BA">
      <w:pPr>
        <w:widowControl w:val="0"/>
        <w:tabs>
          <w:tab w:val="left" w:pos="709"/>
        </w:tabs>
        <w:autoSpaceDE w:val="0"/>
        <w:autoSpaceDN w:val="0"/>
        <w:adjustRightInd w:val="0"/>
        <w:spacing w:line="360" w:lineRule="auto"/>
        <w:rPr>
          <w:szCs w:val="20"/>
          <w:lang w:val="en-GB"/>
        </w:rPr>
      </w:pPr>
    </w:p>
    <w:p w:rsidR="005F42BA" w:rsidRPr="00CC1DC5" w:rsidRDefault="005F42BA" w:rsidP="005F42BA">
      <w:pPr>
        <w:widowControl w:val="0"/>
        <w:tabs>
          <w:tab w:val="left" w:pos="709"/>
        </w:tabs>
        <w:autoSpaceDE w:val="0"/>
        <w:autoSpaceDN w:val="0"/>
        <w:adjustRightInd w:val="0"/>
        <w:spacing w:line="360" w:lineRule="auto"/>
        <w:rPr>
          <w:szCs w:val="20"/>
          <w:lang w:val="en-GB"/>
        </w:rPr>
      </w:pPr>
      <w:r w:rsidRPr="005F42BA">
        <w:rPr>
          <w:szCs w:val="20"/>
          <w:lang w:val="en-GB"/>
        </w:rPr>
        <w:t>The results obtained from descriptive statistical analysis techniques conducted to answer the second sub-problem of the study are given in Table 6.</w:t>
      </w:r>
    </w:p>
    <w:p w:rsidR="005F42BA" w:rsidRDefault="005F42BA" w:rsidP="005F42BA">
      <w:pPr>
        <w:widowControl w:val="0"/>
        <w:suppressAutoHyphens w:val="0"/>
        <w:spacing w:line="360" w:lineRule="auto"/>
        <w:rPr>
          <w:rFonts w:eastAsia="Times New Roman" w:cs="Times New Roman"/>
          <w:szCs w:val="20"/>
          <w:lang w:val="en-GB" w:eastAsia="tr-TR"/>
        </w:rPr>
      </w:pPr>
    </w:p>
    <w:p w:rsidR="00DE4F13" w:rsidRPr="00CC1DC5" w:rsidRDefault="00DE4F13" w:rsidP="00DE4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sidRPr="00CC1DC5">
        <w:rPr>
          <w:rFonts w:eastAsia="Times New Roman" w:cs="Times New Roman"/>
          <w:szCs w:val="20"/>
          <w:lang w:val="en-GB" w:eastAsia="tr-TR"/>
        </w:rPr>
        <w:t>Table 6. Proactive Personality Levels according to Secondary School Mathematics Teachers' Perceptions</w:t>
      </w:r>
    </w:p>
    <w:tbl>
      <w:tblPr>
        <w:tblW w:w="0" w:type="auto"/>
        <w:jc w:val="center"/>
        <w:tblBorders>
          <w:top w:val="single" w:sz="4" w:space="0" w:color="auto"/>
          <w:bottom w:val="single" w:sz="4" w:space="0" w:color="auto"/>
        </w:tblBorders>
        <w:tblLook w:val="01E0" w:firstRow="1" w:lastRow="1" w:firstColumn="1" w:lastColumn="1" w:noHBand="0" w:noVBand="0"/>
      </w:tblPr>
      <w:tblGrid>
        <w:gridCol w:w="1922"/>
        <w:gridCol w:w="516"/>
        <w:gridCol w:w="600"/>
        <w:gridCol w:w="633"/>
        <w:gridCol w:w="566"/>
        <w:gridCol w:w="566"/>
        <w:gridCol w:w="672"/>
      </w:tblGrid>
      <w:tr w:rsidR="00DE4F13" w:rsidRPr="00CC1DC5" w:rsidTr="00DE4F13">
        <w:trPr>
          <w:jc w:val="center"/>
        </w:trPr>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n</w:t>
            </w:r>
          </w:p>
        </w:tc>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Min.</w:t>
            </w:r>
          </w:p>
        </w:tc>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Max.</w:t>
            </w:r>
          </w:p>
        </w:tc>
        <w:tc>
          <w:tcPr>
            <w:tcW w:w="0" w:type="auto"/>
            <w:tcBorders>
              <w:top w:val="single" w:sz="4" w:space="0" w:color="auto"/>
              <w:bottom w:val="single" w:sz="4" w:space="0" w:color="auto"/>
            </w:tcBorders>
            <w:shd w:val="clear" w:color="auto" w:fill="auto"/>
          </w:tcPr>
          <w:p w:rsidR="00DE4F13" w:rsidRPr="00CC1DC5" w:rsidRDefault="0065101E" w:rsidP="00DE4F13">
            <w:pPr>
              <w:widowControl w:val="0"/>
              <w:tabs>
                <w:tab w:val="left" w:pos="709"/>
              </w:tabs>
              <w:autoSpaceDE w:val="0"/>
              <w:autoSpaceDN w:val="0"/>
              <w:adjustRightInd w:val="0"/>
              <w:spacing w:line="360" w:lineRule="auto"/>
              <w:jc w:val="center"/>
              <w:rPr>
                <w:rFonts w:eastAsia="Times New Roman"/>
                <w:szCs w:val="20"/>
                <w:lang w:val="en-GB"/>
              </w:rPr>
            </w:pPr>
            <m:oMathPara>
              <m:oMath>
                <m:acc>
                  <m:accPr>
                    <m:chr m:val="̅"/>
                    <m:ctrlPr>
                      <w:rPr>
                        <w:rFonts w:ascii="Cambria Math" w:hAnsi="Cambria Math"/>
                        <w:i/>
                        <w:szCs w:val="20"/>
                        <w:lang w:val="en-GB"/>
                      </w:rPr>
                    </m:ctrlPr>
                  </m:accPr>
                  <m:e>
                    <m:r>
                      <w:rPr>
                        <w:rFonts w:ascii="Cambria Math" w:hAnsi="Cambria Math"/>
                        <w:szCs w:val="20"/>
                        <w:lang w:val="en-GB"/>
                      </w:rPr>
                      <m:t>x</m:t>
                    </m:r>
                  </m:e>
                </m:acc>
              </m:oMath>
            </m:oMathPara>
          </w:p>
        </w:tc>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Sd</w:t>
            </w:r>
          </w:p>
        </w:tc>
        <w:tc>
          <w:tcPr>
            <w:tcW w:w="0" w:type="auto"/>
            <w:tcBorders>
              <w:top w:val="single" w:sz="4" w:space="0" w:color="auto"/>
              <w:bottom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Level</w:t>
            </w:r>
          </w:p>
        </w:tc>
      </w:tr>
      <w:tr w:rsidR="00DE4F13" w:rsidRPr="00CC1DC5" w:rsidTr="00DE4F13">
        <w:trPr>
          <w:jc w:val="center"/>
        </w:trPr>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Proactive Personality</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380</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1.50</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8.00</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6.15</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1.05</w:t>
            </w:r>
          </w:p>
        </w:tc>
        <w:tc>
          <w:tcPr>
            <w:tcW w:w="0" w:type="auto"/>
            <w:tcBorders>
              <w:top w:val="single" w:sz="4" w:space="0" w:color="auto"/>
            </w:tcBorders>
            <w:shd w:val="clear" w:color="auto" w:fill="auto"/>
          </w:tcPr>
          <w:p w:rsidR="00DE4F13" w:rsidRPr="00CC1DC5" w:rsidRDefault="00DE4F13" w:rsidP="00DE4F13">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High</w:t>
            </w:r>
          </w:p>
        </w:tc>
      </w:tr>
    </w:tbl>
    <w:p w:rsidR="00573DFF" w:rsidRDefault="00573DFF" w:rsidP="001F6755">
      <w:pPr>
        <w:widowControl w:val="0"/>
        <w:suppressAutoHyphens w:val="0"/>
        <w:spacing w:line="360" w:lineRule="auto"/>
        <w:rPr>
          <w:rFonts w:eastAsia="Times New Roman" w:cs="Times New Roman"/>
          <w:szCs w:val="20"/>
          <w:lang w:val="en-GB" w:eastAsia="tr-TR"/>
        </w:rPr>
      </w:pPr>
    </w:p>
    <w:p w:rsidR="00EF4342" w:rsidRDefault="00DE4F13" w:rsidP="000C4D2C">
      <w:pPr>
        <w:widowControl w:val="0"/>
        <w:suppressAutoHyphens w:val="0"/>
        <w:spacing w:line="360" w:lineRule="auto"/>
        <w:rPr>
          <w:rFonts w:eastAsia="Times New Roman" w:cs="Times New Roman"/>
          <w:szCs w:val="20"/>
          <w:lang w:val="en-GB" w:eastAsia="tr-TR"/>
        </w:rPr>
      </w:pPr>
      <w:r w:rsidRPr="00DE4F13">
        <w:rPr>
          <w:rFonts w:eastAsia="Times New Roman" w:cs="Times New Roman"/>
          <w:szCs w:val="20"/>
          <w:lang w:val="en-GB" w:eastAsia="tr-TR"/>
        </w:rPr>
        <w:t>The secondary school mathematics teachers' perceptions of their proactive personality were graded with a 9-point Likert-type (extremely low, very low, low, slightly low, medium, slightly high, high, very high, extremely high) scale. According to secondary school mathematics teachers' perceptions, the arithmetic means for their proactive personality were at the seventh level among the nine levels (level 7, 5.34-6.23). The participating mathematics teachers believe that their proactive personality is high. The items in which they have the most positive perception on proactive personality scale are given in Table 7.</w:t>
      </w:r>
    </w:p>
    <w:p w:rsidR="00DE4F13" w:rsidRDefault="00DE4F13" w:rsidP="00F51233">
      <w:pPr>
        <w:widowControl w:val="0"/>
        <w:suppressAutoHyphens w:val="0"/>
        <w:spacing w:line="360" w:lineRule="auto"/>
        <w:rPr>
          <w:rFonts w:eastAsia="Times New Roman" w:cs="Times New Roman"/>
          <w:szCs w:val="20"/>
          <w:lang w:val="en-GB" w:eastAsia="tr-TR"/>
        </w:rPr>
      </w:pPr>
    </w:p>
    <w:p w:rsidR="00F51233" w:rsidRPr="00CC1DC5" w:rsidRDefault="00F51233" w:rsidP="00F512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Pr>
          <w:rFonts w:eastAsia="Times New Roman" w:cs="Times New Roman"/>
          <w:szCs w:val="20"/>
          <w:lang w:val="en-GB" w:eastAsia="tr-TR"/>
        </w:rPr>
        <w:t>Table</w:t>
      </w:r>
      <w:r w:rsidRPr="00CC1DC5">
        <w:rPr>
          <w:rFonts w:eastAsia="Times New Roman" w:cs="Times New Roman"/>
          <w:szCs w:val="20"/>
          <w:lang w:val="en-GB" w:eastAsia="tr-TR"/>
        </w:rPr>
        <w:t xml:space="preserve"> 7. Items which have Highest Mean</w:t>
      </w:r>
      <w:r>
        <w:rPr>
          <w:rFonts w:eastAsia="Times New Roman" w:cs="Times New Roman"/>
          <w:szCs w:val="20"/>
          <w:lang w:val="en-GB" w:eastAsia="tr-TR"/>
        </w:rPr>
        <w:t>s</w:t>
      </w:r>
      <w:r w:rsidRPr="00CC1DC5">
        <w:rPr>
          <w:rFonts w:eastAsia="Times New Roman" w:cs="Times New Roman"/>
          <w:szCs w:val="20"/>
          <w:lang w:val="en-GB" w:eastAsia="tr-TR"/>
        </w:rPr>
        <w:t xml:space="preserve"> </w:t>
      </w:r>
      <w:r>
        <w:rPr>
          <w:rFonts w:eastAsia="Times New Roman" w:cs="Times New Roman"/>
          <w:szCs w:val="20"/>
          <w:lang w:val="en-GB" w:eastAsia="tr-TR"/>
        </w:rPr>
        <w:t>in</w:t>
      </w:r>
      <w:r w:rsidRPr="00CC1DC5">
        <w:rPr>
          <w:rFonts w:eastAsia="Times New Roman" w:cs="Times New Roman"/>
          <w:szCs w:val="20"/>
          <w:lang w:val="en-GB" w:eastAsia="tr-TR"/>
        </w:rPr>
        <w:t xml:space="preserve"> Proactive Personality Scale</w:t>
      </w:r>
    </w:p>
    <w:tbl>
      <w:tblPr>
        <w:tblW w:w="0" w:type="auto"/>
        <w:jc w:val="center"/>
        <w:tblBorders>
          <w:top w:val="single" w:sz="4" w:space="0" w:color="000000"/>
          <w:bottom w:val="single" w:sz="4" w:space="0" w:color="000000"/>
        </w:tblBorders>
        <w:tblCellMar>
          <w:left w:w="0" w:type="dxa"/>
          <w:right w:w="0" w:type="dxa"/>
        </w:tblCellMar>
        <w:tblLook w:val="0000" w:firstRow="0" w:lastRow="0" w:firstColumn="0" w:lastColumn="0" w:noHBand="0" w:noVBand="0"/>
      </w:tblPr>
      <w:tblGrid>
        <w:gridCol w:w="6049"/>
        <w:gridCol w:w="425"/>
        <w:gridCol w:w="475"/>
        <w:gridCol w:w="575"/>
        <w:gridCol w:w="974"/>
      </w:tblGrid>
      <w:tr w:rsidR="00F51233" w:rsidRPr="00CC1DC5" w:rsidTr="00F51233">
        <w:trPr>
          <w:cantSplit/>
          <w:trHeight w:val="262"/>
          <w:jc w:val="center"/>
        </w:trPr>
        <w:tc>
          <w:tcPr>
            <w:tcW w:w="0" w:type="auto"/>
            <w:tcBorders>
              <w:top w:val="single" w:sz="4" w:space="0" w:color="000000"/>
              <w:bottom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Items</w:t>
            </w:r>
          </w:p>
        </w:tc>
        <w:tc>
          <w:tcPr>
            <w:tcW w:w="0" w:type="auto"/>
            <w:tcBorders>
              <w:top w:val="single" w:sz="4" w:space="0" w:color="000000"/>
              <w:bottom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n</w:t>
            </w:r>
          </w:p>
        </w:tc>
        <w:tc>
          <w:tcPr>
            <w:tcW w:w="0" w:type="auto"/>
            <w:tcBorders>
              <w:top w:val="single" w:sz="4" w:space="0" w:color="000000"/>
              <w:bottom w:val="single" w:sz="4" w:space="0" w:color="000000"/>
            </w:tcBorders>
            <w:shd w:val="clear" w:color="auto" w:fill="FFFFFF"/>
            <w:vAlign w:val="center"/>
          </w:tcPr>
          <w:p w:rsidR="00F51233" w:rsidRPr="00CC1DC5" w:rsidRDefault="0065101E" w:rsidP="00F51233">
            <w:pPr>
              <w:tabs>
                <w:tab w:val="left" w:pos="709"/>
              </w:tabs>
              <w:autoSpaceDE w:val="0"/>
              <w:autoSpaceDN w:val="0"/>
              <w:adjustRightInd w:val="0"/>
              <w:spacing w:line="360" w:lineRule="auto"/>
              <w:ind w:left="62" w:right="62"/>
              <w:jc w:val="center"/>
              <w:rPr>
                <w:szCs w:val="20"/>
                <w:lang w:val="en-GB"/>
              </w:rPr>
            </w:pPr>
            <m:oMathPara>
              <m:oMath>
                <m:acc>
                  <m:accPr>
                    <m:chr m:val="̅"/>
                    <m:ctrlPr>
                      <w:rPr>
                        <w:rFonts w:ascii="Cambria Math" w:hAnsi="Cambria Math"/>
                        <w:i/>
                        <w:szCs w:val="20"/>
                        <w:lang w:val="en-GB"/>
                      </w:rPr>
                    </m:ctrlPr>
                  </m:accPr>
                  <m:e>
                    <m:r>
                      <w:rPr>
                        <w:rFonts w:ascii="Cambria Math" w:hAnsi="Cambria Math"/>
                        <w:szCs w:val="20"/>
                        <w:lang w:val="en-GB"/>
                      </w:rPr>
                      <m:t>x</m:t>
                    </m:r>
                  </m:e>
                </m:acc>
              </m:oMath>
            </m:oMathPara>
          </w:p>
        </w:tc>
        <w:tc>
          <w:tcPr>
            <w:tcW w:w="0" w:type="auto"/>
            <w:tcBorders>
              <w:top w:val="single" w:sz="4" w:space="0" w:color="000000"/>
              <w:bottom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Sd</w:t>
            </w:r>
          </w:p>
        </w:tc>
        <w:tc>
          <w:tcPr>
            <w:tcW w:w="0" w:type="auto"/>
            <w:tcBorders>
              <w:top w:val="single" w:sz="4" w:space="0" w:color="000000"/>
              <w:bottom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Level</w:t>
            </w:r>
          </w:p>
        </w:tc>
      </w:tr>
      <w:tr w:rsidR="00F51233" w:rsidRPr="00CC1DC5" w:rsidTr="00F51233">
        <w:trPr>
          <w:cantSplit/>
          <w:jc w:val="center"/>
        </w:trPr>
        <w:tc>
          <w:tcPr>
            <w:tcW w:w="0" w:type="auto"/>
            <w:tcBorders>
              <w:top w:val="single" w:sz="4" w:space="0" w:color="000000"/>
            </w:tcBorders>
            <w:shd w:val="clear" w:color="auto" w:fill="FFFFFF"/>
            <w:vAlign w:val="center"/>
          </w:tcPr>
          <w:p w:rsidR="00F51233" w:rsidRPr="00CC1DC5" w:rsidRDefault="00F51233" w:rsidP="00F512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8) I always look for ways to do the best.</w:t>
            </w:r>
          </w:p>
        </w:tc>
        <w:tc>
          <w:tcPr>
            <w:tcW w:w="0" w:type="auto"/>
            <w:tcBorders>
              <w:top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tcBorders>
              <w:top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6.88</w:t>
            </w:r>
          </w:p>
        </w:tc>
        <w:tc>
          <w:tcPr>
            <w:tcW w:w="0" w:type="auto"/>
            <w:tcBorders>
              <w:top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1.229</w:t>
            </w:r>
          </w:p>
        </w:tc>
        <w:tc>
          <w:tcPr>
            <w:tcW w:w="0" w:type="auto"/>
            <w:tcBorders>
              <w:top w:val="single" w:sz="4" w:space="0" w:color="000000"/>
            </w:tcBorders>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Very High</w:t>
            </w:r>
          </w:p>
        </w:tc>
      </w:tr>
      <w:tr w:rsidR="00F51233" w:rsidRPr="00CC1DC5" w:rsidTr="00F51233">
        <w:trPr>
          <w:cantSplit/>
          <w:jc w:val="center"/>
        </w:trPr>
        <w:tc>
          <w:tcPr>
            <w:tcW w:w="0" w:type="auto"/>
            <w:shd w:val="clear" w:color="auto" w:fill="FFFFFF"/>
            <w:vAlign w:val="center"/>
          </w:tcPr>
          <w:p w:rsidR="00F51233" w:rsidRPr="00CC1DC5" w:rsidRDefault="00F51233" w:rsidP="00F512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3) Nothing makes me more excited than making my own thoughts a reality.</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6.53</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1.462</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Very High</w:t>
            </w:r>
          </w:p>
        </w:tc>
      </w:tr>
      <w:tr w:rsidR="00F51233" w:rsidRPr="00CC1DC5" w:rsidTr="00F51233">
        <w:trPr>
          <w:cantSplit/>
          <w:jc w:val="center"/>
        </w:trPr>
        <w:tc>
          <w:tcPr>
            <w:tcW w:w="0" w:type="auto"/>
            <w:shd w:val="clear" w:color="auto" w:fill="FFFFFF"/>
            <w:vAlign w:val="center"/>
          </w:tcPr>
          <w:p w:rsidR="00F51233" w:rsidRPr="00CC1DC5" w:rsidRDefault="00F51233" w:rsidP="00F512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1) I look for new ways to improve my life.</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6.48</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1.434</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Very High</w:t>
            </w:r>
          </w:p>
        </w:tc>
      </w:tr>
      <w:tr w:rsidR="00F51233" w:rsidRPr="00CC1DC5" w:rsidTr="00F51233">
        <w:trPr>
          <w:cantSplit/>
          <w:jc w:val="center"/>
        </w:trPr>
        <w:tc>
          <w:tcPr>
            <w:tcW w:w="0" w:type="auto"/>
            <w:shd w:val="clear" w:color="auto" w:fill="FFFFFF"/>
            <w:vAlign w:val="center"/>
          </w:tcPr>
          <w:p w:rsidR="00F51233" w:rsidRPr="00CC1DC5" w:rsidRDefault="00F51233" w:rsidP="00F512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eastAsia="Times New Roman" w:cs="Times New Roman"/>
                <w:szCs w:val="20"/>
                <w:lang w:val="en-GB" w:eastAsia="tr-TR"/>
              </w:rPr>
            </w:pPr>
            <w:r w:rsidRPr="00CC1DC5">
              <w:rPr>
                <w:rFonts w:eastAsia="Times New Roman" w:cs="Times New Roman"/>
                <w:szCs w:val="20"/>
                <w:lang w:val="en-GB" w:eastAsia="tr-TR"/>
              </w:rPr>
              <w:t>4) If I see something I don't like, I'll fix it.</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380</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6.44</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1.492</w:t>
            </w:r>
          </w:p>
        </w:tc>
        <w:tc>
          <w:tcPr>
            <w:tcW w:w="0" w:type="auto"/>
            <w:shd w:val="clear" w:color="auto" w:fill="FFFFFF"/>
            <w:vAlign w:val="center"/>
          </w:tcPr>
          <w:p w:rsidR="00F51233" w:rsidRPr="00CC1DC5" w:rsidRDefault="00F51233" w:rsidP="00F51233">
            <w:pPr>
              <w:tabs>
                <w:tab w:val="left" w:pos="709"/>
              </w:tabs>
              <w:autoSpaceDE w:val="0"/>
              <w:autoSpaceDN w:val="0"/>
              <w:adjustRightInd w:val="0"/>
              <w:spacing w:line="360" w:lineRule="auto"/>
              <w:ind w:left="62" w:right="62"/>
              <w:jc w:val="center"/>
              <w:rPr>
                <w:szCs w:val="20"/>
                <w:lang w:val="en-GB"/>
              </w:rPr>
            </w:pPr>
            <w:r w:rsidRPr="00CC1DC5">
              <w:rPr>
                <w:szCs w:val="20"/>
                <w:lang w:val="en-GB"/>
              </w:rPr>
              <w:t>Very High</w:t>
            </w:r>
          </w:p>
        </w:tc>
      </w:tr>
    </w:tbl>
    <w:p w:rsidR="00DE4F13" w:rsidRDefault="00DE4F13" w:rsidP="00F51233">
      <w:pPr>
        <w:widowControl w:val="0"/>
        <w:suppressAutoHyphens w:val="0"/>
        <w:spacing w:line="360" w:lineRule="auto"/>
        <w:rPr>
          <w:rFonts w:eastAsia="Times New Roman" w:cs="Times New Roman"/>
          <w:szCs w:val="20"/>
          <w:lang w:val="en-GB" w:eastAsia="tr-TR"/>
        </w:rPr>
      </w:pPr>
    </w:p>
    <w:p w:rsidR="00634FB9" w:rsidRPr="00634FB9" w:rsidRDefault="00634FB9" w:rsidP="00634FB9">
      <w:pPr>
        <w:widowControl w:val="0"/>
        <w:suppressAutoHyphens w:val="0"/>
        <w:spacing w:line="360" w:lineRule="auto"/>
        <w:rPr>
          <w:rFonts w:eastAsia="Times New Roman" w:cs="Times New Roman"/>
          <w:szCs w:val="20"/>
          <w:lang w:val="en-GB" w:eastAsia="tr-TR"/>
        </w:rPr>
      </w:pPr>
      <w:r w:rsidRPr="00634FB9">
        <w:rPr>
          <w:rFonts w:eastAsia="Times New Roman" w:cs="Times New Roman"/>
          <w:szCs w:val="20"/>
          <w:lang w:val="en-GB" w:eastAsia="tr-TR"/>
        </w:rPr>
        <w:t xml:space="preserve">According to Table 7, the secondary school mathematics teachers’ perceptions of the following items were found “very high”: “I always look for ways to do the best”, “Nothing excites me more than making my own thoughts come true”, “I look for ways to improve my own lives” and “If I see something I don't like, I'll fix it.”. According </w:t>
      </w:r>
      <w:r w:rsidRPr="00634FB9">
        <w:rPr>
          <w:rFonts w:eastAsia="Times New Roman" w:cs="Times New Roman"/>
          <w:szCs w:val="20"/>
          <w:lang w:val="en-GB" w:eastAsia="tr-TR"/>
        </w:rPr>
        <w:lastRenderedPageBreak/>
        <w:t>to the perceptions of the secondary school mathematics teachers, the item that has the lowest level related to proactive personality is “I specialize in determining opportunities” (x ̅=5.27, Sd=1.703, slightly high).</w:t>
      </w:r>
    </w:p>
    <w:p w:rsidR="00634FB9" w:rsidRPr="00634FB9" w:rsidRDefault="00634FB9" w:rsidP="00634FB9">
      <w:pPr>
        <w:widowControl w:val="0"/>
        <w:suppressAutoHyphens w:val="0"/>
        <w:spacing w:line="360" w:lineRule="auto"/>
        <w:rPr>
          <w:rFonts w:eastAsia="Times New Roman" w:cs="Times New Roman"/>
          <w:szCs w:val="20"/>
          <w:lang w:val="en-GB" w:eastAsia="tr-TR"/>
        </w:rPr>
      </w:pPr>
    </w:p>
    <w:p w:rsidR="00634FB9" w:rsidRPr="00634FB9" w:rsidRDefault="00634FB9" w:rsidP="00634FB9">
      <w:pPr>
        <w:widowControl w:val="0"/>
        <w:suppressAutoHyphens w:val="0"/>
        <w:spacing w:line="360" w:lineRule="auto"/>
        <w:rPr>
          <w:rFonts w:eastAsia="Times New Roman" w:cs="Times New Roman"/>
          <w:b/>
          <w:szCs w:val="20"/>
          <w:lang w:val="en-GB" w:eastAsia="tr-TR"/>
        </w:rPr>
      </w:pPr>
      <w:r w:rsidRPr="00634FB9">
        <w:rPr>
          <w:rFonts w:eastAsia="Times New Roman" w:cs="Times New Roman"/>
          <w:b/>
          <w:szCs w:val="20"/>
          <w:lang w:val="en-GB" w:eastAsia="tr-TR"/>
        </w:rPr>
        <w:t>The Relationship between Secondary School Mathematics Teachers' Technology Literacy and Proactive Personality</w:t>
      </w:r>
    </w:p>
    <w:p w:rsidR="00634FB9" w:rsidRPr="00634FB9" w:rsidRDefault="00634FB9" w:rsidP="00634FB9">
      <w:pPr>
        <w:widowControl w:val="0"/>
        <w:suppressAutoHyphens w:val="0"/>
        <w:spacing w:line="360" w:lineRule="auto"/>
        <w:rPr>
          <w:rFonts w:eastAsia="Times New Roman" w:cs="Times New Roman"/>
          <w:szCs w:val="20"/>
          <w:lang w:val="en-GB" w:eastAsia="tr-TR"/>
        </w:rPr>
      </w:pPr>
    </w:p>
    <w:p w:rsidR="00EF4342" w:rsidRDefault="00634FB9" w:rsidP="00634FB9">
      <w:pPr>
        <w:widowControl w:val="0"/>
        <w:suppressAutoHyphens w:val="0"/>
        <w:spacing w:line="360" w:lineRule="auto"/>
        <w:rPr>
          <w:rFonts w:eastAsia="Times New Roman" w:cs="Times New Roman"/>
          <w:szCs w:val="20"/>
          <w:lang w:val="en-GB" w:eastAsia="tr-TR"/>
        </w:rPr>
      </w:pPr>
      <w:r w:rsidRPr="00634FB9">
        <w:rPr>
          <w:rFonts w:eastAsia="Times New Roman" w:cs="Times New Roman"/>
          <w:szCs w:val="20"/>
          <w:lang w:val="en-GB" w:eastAsia="tr-TR"/>
        </w:rPr>
        <w:t>In line with the third problem of the study, the relationship between the technology literacy and proactive personalities was examined according to the perceptions of the secondary school mathematics teachers, and the results of the correlation analysis were presented in Table 8.</w:t>
      </w:r>
    </w:p>
    <w:p w:rsidR="00EF4342" w:rsidRDefault="00EF4342" w:rsidP="000C4D2C">
      <w:pPr>
        <w:widowControl w:val="0"/>
        <w:suppressAutoHyphens w:val="0"/>
        <w:spacing w:line="360" w:lineRule="auto"/>
        <w:rPr>
          <w:rFonts w:eastAsia="Times New Roman" w:cs="Times New Roman"/>
          <w:szCs w:val="20"/>
          <w:lang w:val="en-GB" w:eastAsia="tr-TR"/>
        </w:rPr>
      </w:pPr>
    </w:p>
    <w:p w:rsidR="00634FB9" w:rsidRPr="00CC1DC5" w:rsidRDefault="00634FB9" w:rsidP="00634FB9">
      <w:pPr>
        <w:widowControl w:val="0"/>
        <w:tabs>
          <w:tab w:val="left" w:pos="709"/>
        </w:tabs>
        <w:autoSpaceDE w:val="0"/>
        <w:autoSpaceDN w:val="0"/>
        <w:adjustRightInd w:val="0"/>
        <w:spacing w:line="360" w:lineRule="auto"/>
        <w:jc w:val="center"/>
        <w:rPr>
          <w:szCs w:val="20"/>
          <w:lang w:val="en-GB"/>
        </w:rPr>
      </w:pPr>
      <w:r w:rsidRPr="00CC1DC5">
        <w:rPr>
          <w:szCs w:val="20"/>
          <w:lang w:val="en-GB"/>
        </w:rPr>
        <w:t xml:space="preserve">Table 8. The Relationship between </w:t>
      </w:r>
      <w:r>
        <w:rPr>
          <w:szCs w:val="20"/>
          <w:lang w:val="en-GB"/>
        </w:rPr>
        <w:t xml:space="preserve">the </w:t>
      </w:r>
      <w:r w:rsidRPr="00CC1DC5">
        <w:rPr>
          <w:szCs w:val="20"/>
          <w:lang w:val="en-GB"/>
        </w:rPr>
        <w:t>Secondary School Mathematics Teachers' Technology Literacy and Proactive Personality</w:t>
      </w:r>
    </w:p>
    <w:tbl>
      <w:tblPr>
        <w:tblW w:w="0" w:type="auto"/>
        <w:jc w:val="center"/>
        <w:tblBorders>
          <w:top w:val="single" w:sz="4" w:space="0" w:color="auto"/>
          <w:bottom w:val="single" w:sz="4" w:space="0" w:color="auto"/>
        </w:tblBorders>
        <w:tblLook w:val="01E0" w:firstRow="1" w:lastRow="1" w:firstColumn="1" w:lastColumn="1" w:noHBand="0" w:noVBand="0"/>
      </w:tblPr>
      <w:tblGrid>
        <w:gridCol w:w="1922"/>
        <w:gridCol w:w="566"/>
        <w:gridCol w:w="666"/>
        <w:gridCol w:w="1888"/>
        <w:gridCol w:w="1922"/>
      </w:tblGrid>
      <w:tr w:rsidR="00634FB9" w:rsidRPr="00CC1DC5" w:rsidTr="00634FB9">
        <w:trPr>
          <w:jc w:val="center"/>
        </w:trPr>
        <w:tc>
          <w:tcPr>
            <w:tcW w:w="0" w:type="auto"/>
            <w:tcBorders>
              <w:top w:val="single" w:sz="4" w:space="0" w:color="auto"/>
              <w:bottom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p>
        </w:tc>
        <w:tc>
          <w:tcPr>
            <w:tcW w:w="0" w:type="auto"/>
            <w:tcBorders>
              <w:top w:val="single" w:sz="4" w:space="0" w:color="auto"/>
              <w:bottom w:val="single" w:sz="4" w:space="0" w:color="auto"/>
            </w:tcBorders>
            <w:shd w:val="clear" w:color="auto" w:fill="auto"/>
            <w:vAlign w:val="center"/>
          </w:tcPr>
          <w:p w:rsidR="00634FB9" w:rsidRPr="00CC1DC5" w:rsidRDefault="0065101E" w:rsidP="00634FB9">
            <w:pPr>
              <w:widowControl w:val="0"/>
              <w:tabs>
                <w:tab w:val="left" w:pos="709"/>
              </w:tabs>
              <w:autoSpaceDE w:val="0"/>
              <w:autoSpaceDN w:val="0"/>
              <w:adjustRightInd w:val="0"/>
              <w:spacing w:line="360" w:lineRule="auto"/>
              <w:jc w:val="center"/>
              <w:rPr>
                <w:rFonts w:eastAsia="Times New Roman"/>
                <w:szCs w:val="20"/>
                <w:lang w:val="en-GB"/>
              </w:rPr>
            </w:pPr>
            <m:oMathPara>
              <m:oMath>
                <m:acc>
                  <m:accPr>
                    <m:chr m:val="̅"/>
                    <m:ctrlPr>
                      <w:rPr>
                        <w:rFonts w:ascii="Cambria Math" w:hAnsi="Cambria Math"/>
                        <w:i/>
                        <w:szCs w:val="20"/>
                        <w:lang w:val="en-GB"/>
                      </w:rPr>
                    </m:ctrlPr>
                  </m:accPr>
                  <m:e>
                    <m:r>
                      <w:rPr>
                        <w:rFonts w:ascii="Cambria Math" w:hAnsi="Cambria Math"/>
                        <w:szCs w:val="20"/>
                        <w:lang w:val="en-GB"/>
                      </w:rPr>
                      <m:t>x</m:t>
                    </m:r>
                  </m:e>
                </m:acc>
              </m:oMath>
            </m:oMathPara>
          </w:p>
        </w:tc>
        <w:tc>
          <w:tcPr>
            <w:tcW w:w="0" w:type="auto"/>
            <w:tcBorders>
              <w:top w:val="single" w:sz="4" w:space="0" w:color="auto"/>
              <w:bottom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Sd</w:t>
            </w:r>
          </w:p>
        </w:tc>
        <w:tc>
          <w:tcPr>
            <w:tcW w:w="0" w:type="auto"/>
            <w:tcBorders>
              <w:top w:val="single" w:sz="4" w:space="0" w:color="auto"/>
              <w:bottom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Technology Literacy</w:t>
            </w:r>
          </w:p>
        </w:tc>
        <w:tc>
          <w:tcPr>
            <w:tcW w:w="0" w:type="auto"/>
            <w:tcBorders>
              <w:top w:val="single" w:sz="4" w:space="0" w:color="auto"/>
              <w:bottom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Proactive Personality</w:t>
            </w:r>
          </w:p>
        </w:tc>
      </w:tr>
      <w:tr w:rsidR="00634FB9" w:rsidRPr="00CC1DC5" w:rsidTr="00634FB9">
        <w:trPr>
          <w:jc w:val="center"/>
        </w:trPr>
        <w:tc>
          <w:tcPr>
            <w:tcW w:w="0" w:type="auto"/>
            <w:tcBorders>
              <w:top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Technology Literacy</w:t>
            </w:r>
          </w:p>
        </w:tc>
        <w:tc>
          <w:tcPr>
            <w:tcW w:w="0" w:type="auto"/>
            <w:tcBorders>
              <w:top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5.86</w:t>
            </w:r>
          </w:p>
        </w:tc>
        <w:tc>
          <w:tcPr>
            <w:tcW w:w="0" w:type="auto"/>
            <w:tcBorders>
              <w:top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.796</w:t>
            </w:r>
          </w:p>
        </w:tc>
        <w:tc>
          <w:tcPr>
            <w:tcW w:w="0" w:type="auto"/>
            <w:tcBorders>
              <w:top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w:t>
            </w:r>
          </w:p>
        </w:tc>
        <w:tc>
          <w:tcPr>
            <w:tcW w:w="0" w:type="auto"/>
            <w:tcBorders>
              <w:top w:val="single" w:sz="4" w:space="0" w:color="auto"/>
            </w:tcBorders>
            <w:shd w:val="clear" w:color="auto" w:fill="auto"/>
            <w:vAlign w:val="center"/>
          </w:tcPr>
          <w:p w:rsidR="00634FB9" w:rsidRPr="00CC1DC5" w:rsidRDefault="00634FB9" w:rsidP="00634FB9">
            <w:pPr>
              <w:widowControl w:val="0"/>
              <w:tabs>
                <w:tab w:val="left" w:pos="709"/>
              </w:tabs>
              <w:autoSpaceDE w:val="0"/>
              <w:autoSpaceDN w:val="0"/>
              <w:adjustRightInd w:val="0"/>
              <w:spacing w:line="360" w:lineRule="auto"/>
              <w:jc w:val="center"/>
              <w:rPr>
                <w:rFonts w:eastAsia="Times New Roman"/>
                <w:szCs w:val="20"/>
                <w:lang w:val="en-GB"/>
              </w:rPr>
            </w:pPr>
          </w:p>
        </w:tc>
      </w:tr>
      <w:tr w:rsidR="00634FB9" w:rsidRPr="00CC1DC5" w:rsidTr="00634FB9">
        <w:trPr>
          <w:jc w:val="center"/>
        </w:trPr>
        <w:tc>
          <w:tcPr>
            <w:tcW w:w="0" w:type="auto"/>
            <w:shd w:val="clear" w:color="auto" w:fill="auto"/>
            <w:vAlign w:val="center"/>
          </w:tcPr>
          <w:p w:rsidR="00634FB9" w:rsidRPr="00CC1DC5" w:rsidRDefault="00634FB9" w:rsidP="008D0437">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Proactive Personality</w:t>
            </w:r>
          </w:p>
        </w:tc>
        <w:tc>
          <w:tcPr>
            <w:tcW w:w="0" w:type="auto"/>
            <w:shd w:val="clear" w:color="auto" w:fill="auto"/>
            <w:vAlign w:val="center"/>
          </w:tcPr>
          <w:p w:rsidR="00634FB9" w:rsidRPr="00CC1DC5" w:rsidRDefault="00634FB9" w:rsidP="008D0437">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6.15</w:t>
            </w:r>
          </w:p>
        </w:tc>
        <w:tc>
          <w:tcPr>
            <w:tcW w:w="0" w:type="auto"/>
            <w:shd w:val="clear" w:color="auto" w:fill="auto"/>
            <w:vAlign w:val="center"/>
          </w:tcPr>
          <w:p w:rsidR="00634FB9" w:rsidRPr="00CC1DC5" w:rsidRDefault="00634FB9" w:rsidP="008D0437">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1.050</w:t>
            </w:r>
          </w:p>
        </w:tc>
        <w:tc>
          <w:tcPr>
            <w:tcW w:w="0" w:type="auto"/>
            <w:shd w:val="clear" w:color="auto" w:fill="auto"/>
            <w:vAlign w:val="center"/>
          </w:tcPr>
          <w:p w:rsidR="00634FB9" w:rsidRPr="00CC1DC5" w:rsidRDefault="00634FB9" w:rsidP="008D0437">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.554</w:t>
            </w:r>
          </w:p>
        </w:tc>
        <w:tc>
          <w:tcPr>
            <w:tcW w:w="0" w:type="auto"/>
            <w:shd w:val="clear" w:color="auto" w:fill="auto"/>
            <w:vAlign w:val="center"/>
          </w:tcPr>
          <w:p w:rsidR="00634FB9" w:rsidRPr="00CC1DC5" w:rsidRDefault="00634FB9" w:rsidP="008D0437">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w:t>
            </w:r>
          </w:p>
        </w:tc>
      </w:tr>
    </w:tbl>
    <w:p w:rsidR="00634FB9" w:rsidRDefault="00634FB9" w:rsidP="008D0437">
      <w:pPr>
        <w:widowControl w:val="0"/>
        <w:suppressAutoHyphens w:val="0"/>
        <w:spacing w:line="360" w:lineRule="auto"/>
        <w:rPr>
          <w:rFonts w:eastAsia="Times New Roman" w:cs="Times New Roman"/>
          <w:szCs w:val="20"/>
          <w:lang w:val="en-GB" w:eastAsia="tr-TR"/>
        </w:rPr>
      </w:pPr>
    </w:p>
    <w:p w:rsidR="008D0437" w:rsidRPr="008D0437" w:rsidRDefault="008D0437" w:rsidP="008D0437">
      <w:pPr>
        <w:spacing w:line="360" w:lineRule="auto"/>
        <w:rPr>
          <w:rFonts w:eastAsia="Times New Roman" w:cs="Times New Roman"/>
          <w:szCs w:val="20"/>
          <w:lang w:val="en-GB" w:eastAsia="tr-TR"/>
        </w:rPr>
      </w:pPr>
      <w:r w:rsidRPr="008D0437">
        <w:rPr>
          <w:rFonts w:eastAsia="Times New Roman" w:cs="Times New Roman"/>
          <w:szCs w:val="20"/>
          <w:lang w:val="en-GB" w:eastAsia="tr-TR"/>
        </w:rPr>
        <w:t>As a result of the Pearson correlation analysis, there was a moderately positive correlation between technology literacy and proactive personalities according to the perceptions of secondary school mathematics teachers (Table 8; R=.554, p &lt;.05). The results of the regression analysis on whether</w:t>
      </w:r>
      <w:r w:rsidR="004E725E">
        <w:rPr>
          <w:rFonts w:eastAsia="Times New Roman" w:cs="Times New Roman"/>
          <w:szCs w:val="20"/>
          <w:lang w:val="en-GB" w:eastAsia="tr-TR"/>
        </w:rPr>
        <w:t xml:space="preserve"> </w:t>
      </w:r>
      <w:r w:rsidRPr="008D0437">
        <w:rPr>
          <w:rFonts w:eastAsia="Times New Roman" w:cs="Times New Roman"/>
          <w:szCs w:val="20"/>
          <w:lang w:val="en-GB" w:eastAsia="tr-TR"/>
        </w:rPr>
        <w:t>proactive personality is a significant predictor of technology literacy according to the perceptions of secondary school mathematics teachers is given in Table 9.</w:t>
      </w:r>
    </w:p>
    <w:p w:rsidR="008D0437" w:rsidRDefault="008D0437" w:rsidP="000C4D2C">
      <w:pPr>
        <w:widowControl w:val="0"/>
        <w:suppressAutoHyphens w:val="0"/>
        <w:spacing w:line="360" w:lineRule="auto"/>
        <w:rPr>
          <w:rFonts w:eastAsia="Times New Roman" w:cs="Times New Roman"/>
          <w:szCs w:val="20"/>
          <w:lang w:val="en-GB" w:eastAsia="tr-TR"/>
        </w:rPr>
      </w:pPr>
    </w:p>
    <w:p w:rsidR="004E725E" w:rsidRPr="00CC1DC5" w:rsidRDefault="004E725E" w:rsidP="004E72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cs="Times New Roman"/>
          <w:szCs w:val="20"/>
          <w:lang w:val="en-GB" w:eastAsia="tr-TR"/>
        </w:rPr>
      </w:pPr>
      <w:r>
        <w:rPr>
          <w:rFonts w:eastAsia="Times New Roman" w:cs="Times New Roman"/>
          <w:szCs w:val="20"/>
          <w:lang w:val="en-GB" w:eastAsia="tr-TR"/>
        </w:rPr>
        <w:t>Table</w:t>
      </w:r>
      <w:r w:rsidRPr="00CC1DC5">
        <w:rPr>
          <w:rFonts w:eastAsia="Times New Roman" w:cs="Times New Roman"/>
          <w:szCs w:val="20"/>
          <w:lang w:val="en-GB" w:eastAsia="tr-TR"/>
        </w:rPr>
        <w:t xml:space="preserve"> 9.</w:t>
      </w:r>
      <w:r w:rsidRPr="00CC1DC5">
        <w:rPr>
          <w:rFonts w:eastAsia="Times New Roman" w:cs="Times New Roman"/>
          <w:iCs/>
          <w:szCs w:val="20"/>
          <w:lang w:val="en-GB" w:eastAsia="tr-TR"/>
        </w:rPr>
        <w:t xml:space="preserve"> </w:t>
      </w:r>
      <w:r w:rsidRPr="00CC1DC5">
        <w:rPr>
          <w:rFonts w:eastAsia="Times New Roman" w:cs="Times New Roman"/>
          <w:szCs w:val="20"/>
          <w:lang w:val="en-GB" w:eastAsia="tr-TR"/>
        </w:rPr>
        <w:t>The regression analysis between technology literacy and proactive personality of secondary school mathematics teachers</w:t>
      </w:r>
    </w:p>
    <w:tbl>
      <w:tblPr>
        <w:tblW w:w="0" w:type="auto"/>
        <w:jc w:val="center"/>
        <w:tblBorders>
          <w:top w:val="single" w:sz="4" w:space="0" w:color="auto"/>
          <w:bottom w:val="single" w:sz="4" w:space="0" w:color="auto"/>
        </w:tblBorders>
        <w:tblLook w:val="01E0" w:firstRow="1" w:lastRow="1" w:firstColumn="1" w:lastColumn="1" w:noHBand="0" w:noVBand="0"/>
      </w:tblPr>
      <w:tblGrid>
        <w:gridCol w:w="1888"/>
        <w:gridCol w:w="1922"/>
        <w:gridCol w:w="566"/>
        <w:gridCol w:w="1399"/>
        <w:gridCol w:w="566"/>
        <w:gridCol w:w="766"/>
        <w:gridCol w:w="566"/>
      </w:tblGrid>
      <w:tr w:rsidR="004E725E" w:rsidRPr="00CC1DC5" w:rsidTr="004E725E">
        <w:trPr>
          <w:jc w:val="center"/>
        </w:trPr>
        <w:tc>
          <w:tcPr>
            <w:tcW w:w="0" w:type="auto"/>
            <w:gridSpan w:val="2"/>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Variables</w:t>
            </w:r>
          </w:p>
        </w:tc>
        <w:tc>
          <w:tcPr>
            <w:tcW w:w="0" w:type="auto"/>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iCs/>
                <w:szCs w:val="20"/>
                <w:lang w:val="en-GB"/>
              </w:rPr>
            </w:pPr>
            <w:r w:rsidRPr="00CC1DC5">
              <w:rPr>
                <w:rFonts w:eastAsia="Times New Roman"/>
                <w:iCs/>
                <w:szCs w:val="20"/>
                <w:lang w:val="en-GB"/>
              </w:rPr>
              <w:t>B</w:t>
            </w:r>
          </w:p>
        </w:tc>
        <w:tc>
          <w:tcPr>
            <w:tcW w:w="0" w:type="auto"/>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Pr>
                <w:rFonts w:eastAsia="Times New Roman"/>
                <w:szCs w:val="20"/>
                <w:lang w:val="en-GB"/>
              </w:rPr>
              <w:t>Standard E</w:t>
            </w:r>
            <w:r w:rsidRPr="00F96295">
              <w:rPr>
                <w:rFonts w:eastAsia="Times New Roman"/>
                <w:szCs w:val="20"/>
                <w:lang w:val="en-GB"/>
              </w:rPr>
              <w:t>rror</w:t>
            </w:r>
          </w:p>
        </w:tc>
        <w:tc>
          <w:tcPr>
            <w:tcW w:w="0" w:type="auto"/>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Β</w:t>
            </w:r>
          </w:p>
        </w:tc>
        <w:tc>
          <w:tcPr>
            <w:tcW w:w="0" w:type="auto"/>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iCs/>
                <w:szCs w:val="20"/>
                <w:lang w:val="en-GB"/>
              </w:rPr>
            </w:pPr>
            <w:r w:rsidRPr="00CC1DC5">
              <w:rPr>
                <w:rFonts w:eastAsia="Times New Roman"/>
                <w:iCs/>
                <w:szCs w:val="20"/>
                <w:lang w:val="en-GB"/>
              </w:rPr>
              <w:t>t</w:t>
            </w:r>
          </w:p>
        </w:tc>
        <w:tc>
          <w:tcPr>
            <w:tcW w:w="0" w:type="auto"/>
            <w:tcBorders>
              <w:top w:val="single" w:sz="4" w:space="0" w:color="auto"/>
              <w:bottom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iCs/>
                <w:szCs w:val="20"/>
                <w:lang w:val="en-GB"/>
              </w:rPr>
            </w:pPr>
            <w:r w:rsidRPr="00CC1DC5">
              <w:rPr>
                <w:rFonts w:eastAsia="Times New Roman"/>
                <w:iCs/>
                <w:szCs w:val="20"/>
                <w:lang w:val="en-GB"/>
              </w:rPr>
              <w:t>P</w:t>
            </w:r>
          </w:p>
        </w:tc>
      </w:tr>
      <w:tr w:rsidR="004E725E" w:rsidRPr="00CC1DC5" w:rsidTr="004E725E">
        <w:trPr>
          <w:jc w:val="center"/>
        </w:trPr>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Technology Literacy</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Proactive Personality</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.420</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.032</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.554</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12.936</w:t>
            </w:r>
          </w:p>
        </w:tc>
        <w:tc>
          <w:tcPr>
            <w:tcW w:w="0" w:type="auto"/>
            <w:tcBorders>
              <w:top w:val="single" w:sz="4" w:space="0" w:color="auto"/>
            </w:tcBorders>
            <w:shd w:val="clear" w:color="auto" w:fill="auto"/>
            <w:vAlign w:val="center"/>
          </w:tcPr>
          <w:p w:rsidR="004E725E" w:rsidRPr="00CC1DC5" w:rsidRDefault="004E725E" w:rsidP="004E725E">
            <w:pPr>
              <w:widowControl w:val="0"/>
              <w:tabs>
                <w:tab w:val="left" w:pos="709"/>
              </w:tabs>
              <w:autoSpaceDE w:val="0"/>
              <w:autoSpaceDN w:val="0"/>
              <w:adjustRightInd w:val="0"/>
              <w:spacing w:line="360" w:lineRule="auto"/>
              <w:jc w:val="center"/>
              <w:rPr>
                <w:rFonts w:eastAsia="Times New Roman"/>
                <w:szCs w:val="20"/>
                <w:lang w:val="en-GB"/>
              </w:rPr>
            </w:pPr>
            <w:r w:rsidRPr="00CC1DC5">
              <w:rPr>
                <w:rFonts w:eastAsia="Times New Roman"/>
                <w:szCs w:val="20"/>
                <w:lang w:val="en-GB"/>
              </w:rPr>
              <w:t>.000</w:t>
            </w:r>
          </w:p>
        </w:tc>
      </w:tr>
      <w:tr w:rsidR="004E725E" w:rsidRPr="00CC1DC5" w:rsidTr="004E725E">
        <w:trPr>
          <w:jc w:val="center"/>
        </w:trPr>
        <w:tc>
          <w:tcPr>
            <w:tcW w:w="0" w:type="auto"/>
            <w:gridSpan w:val="7"/>
            <w:shd w:val="clear" w:color="auto" w:fill="auto"/>
          </w:tcPr>
          <w:p w:rsidR="004E725E" w:rsidRPr="00CC1DC5" w:rsidRDefault="004E725E" w:rsidP="004E725E">
            <w:pPr>
              <w:widowControl w:val="0"/>
              <w:tabs>
                <w:tab w:val="left" w:pos="709"/>
              </w:tabs>
              <w:autoSpaceDE w:val="0"/>
              <w:autoSpaceDN w:val="0"/>
              <w:adjustRightInd w:val="0"/>
              <w:spacing w:line="360" w:lineRule="auto"/>
              <w:rPr>
                <w:rFonts w:eastAsia="Times New Roman"/>
                <w:iCs/>
                <w:szCs w:val="20"/>
                <w:lang w:val="en-GB"/>
              </w:rPr>
            </w:pPr>
            <w:r w:rsidRPr="00CC1DC5">
              <w:rPr>
                <w:rFonts w:eastAsia="Times New Roman"/>
                <w:iCs/>
                <w:szCs w:val="20"/>
                <w:lang w:val="en-GB"/>
              </w:rPr>
              <w:t>R=.554, R</w:t>
            </w:r>
            <w:r w:rsidRPr="00CC1DC5">
              <w:rPr>
                <w:rFonts w:eastAsia="Times New Roman"/>
                <w:iCs/>
                <w:szCs w:val="20"/>
                <w:vertAlign w:val="superscript"/>
                <w:lang w:val="en-GB"/>
              </w:rPr>
              <w:t>2</w:t>
            </w:r>
            <w:r w:rsidRPr="00CC1DC5">
              <w:rPr>
                <w:rFonts w:eastAsia="Times New Roman"/>
                <w:iCs/>
                <w:szCs w:val="20"/>
                <w:lang w:val="en-GB"/>
              </w:rPr>
              <w:t>=.307, p=.000, F=167.346</w:t>
            </w:r>
          </w:p>
        </w:tc>
      </w:tr>
    </w:tbl>
    <w:p w:rsidR="004E725E" w:rsidRDefault="004E725E" w:rsidP="004E725E">
      <w:pPr>
        <w:widowControl w:val="0"/>
        <w:suppressAutoHyphens w:val="0"/>
        <w:spacing w:line="360" w:lineRule="auto"/>
        <w:rPr>
          <w:rFonts w:eastAsia="Times New Roman" w:cs="Times New Roman"/>
          <w:szCs w:val="20"/>
          <w:lang w:val="en-GB" w:eastAsia="tr-TR"/>
        </w:rPr>
      </w:pPr>
    </w:p>
    <w:p w:rsidR="00EF4342" w:rsidRDefault="004E725E" w:rsidP="008D0437">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When the values in Table 9 are examined, it can be said that proactive personality is a significant predictor of technology literacy according to the perceptions of secondary school mathematics teachers (R=.554, R2=.307). Proactive personality explains 31% of technology literacy.</w:t>
      </w:r>
    </w:p>
    <w:p w:rsidR="004E725E" w:rsidRDefault="004E725E" w:rsidP="008D0437">
      <w:pPr>
        <w:widowControl w:val="0"/>
        <w:suppressAutoHyphens w:val="0"/>
        <w:spacing w:line="360" w:lineRule="auto"/>
        <w:rPr>
          <w:rFonts w:eastAsia="Times New Roman" w:cs="Times New Roman"/>
          <w:szCs w:val="20"/>
          <w:lang w:val="en-GB" w:eastAsia="tr-TR"/>
        </w:rPr>
      </w:pPr>
    </w:p>
    <w:p w:rsidR="004E725E" w:rsidRPr="004E725E" w:rsidRDefault="004E725E" w:rsidP="004E725E">
      <w:pPr>
        <w:widowControl w:val="0"/>
        <w:suppressAutoHyphens w:val="0"/>
        <w:spacing w:line="360" w:lineRule="auto"/>
        <w:rPr>
          <w:rFonts w:eastAsia="Times New Roman" w:cs="Times New Roman"/>
          <w:b/>
          <w:sz w:val="24"/>
          <w:szCs w:val="24"/>
          <w:lang w:val="en-GB" w:eastAsia="tr-TR"/>
        </w:rPr>
      </w:pPr>
      <w:r w:rsidRPr="004E725E">
        <w:rPr>
          <w:rFonts w:eastAsia="Times New Roman" w:cs="Times New Roman"/>
          <w:b/>
          <w:sz w:val="24"/>
          <w:szCs w:val="24"/>
          <w:lang w:val="en-GB" w:eastAsia="tr-TR"/>
        </w:rPr>
        <w:t>Discussions, Conclusions and Recommendations</w:t>
      </w:r>
    </w:p>
    <w:p w:rsidR="004E725E" w:rsidRPr="004E725E" w:rsidRDefault="004E725E" w:rsidP="004E725E">
      <w:pPr>
        <w:widowControl w:val="0"/>
        <w:suppressAutoHyphens w:val="0"/>
        <w:spacing w:line="360" w:lineRule="auto"/>
        <w:rPr>
          <w:rFonts w:eastAsia="Times New Roman" w:cs="Times New Roman"/>
          <w:szCs w:val="20"/>
          <w:lang w:val="en-GB" w:eastAsia="tr-TR"/>
        </w:rPr>
      </w:pPr>
    </w:p>
    <w:p w:rsid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In this section, the results of the study are discussed with the help of the literature, and suggestions developed based on the findings are given. In this study, the relationship between proactivity and technology literacy was mentioned for the first time in the literature. In this respect, it is thought that this study will make an important contribution to the literature.</w:t>
      </w:r>
    </w:p>
    <w:p w:rsidR="008C6F26" w:rsidRPr="004E725E" w:rsidRDefault="008C6F26" w:rsidP="004E725E">
      <w:pPr>
        <w:widowControl w:val="0"/>
        <w:suppressAutoHyphens w:val="0"/>
        <w:spacing w:line="360" w:lineRule="auto"/>
        <w:rPr>
          <w:rFonts w:eastAsia="Times New Roman" w:cs="Times New Roman"/>
          <w:szCs w:val="20"/>
          <w:lang w:val="en-GB" w:eastAsia="tr-TR"/>
        </w:rPr>
      </w:pPr>
    </w:p>
    <w:p w:rsidR="004E725E" w:rsidRP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 xml:space="preserve">When we look at the results obtained, according to the perception of secondary school mathematics teachers, their technology literacy is high. Technology literacy includes all knowledge, skills and attitudes related to the use of </w:t>
      </w:r>
      <w:r w:rsidRPr="004E725E">
        <w:rPr>
          <w:rFonts w:eastAsia="Times New Roman" w:cs="Times New Roman"/>
          <w:szCs w:val="20"/>
          <w:lang w:val="en-GB" w:eastAsia="tr-TR"/>
        </w:rPr>
        <w:lastRenderedPageBreak/>
        <w:t xml:space="preserve">technology (Barr &amp; Stephenson 2011; Boschman, McKenney, &amp; Voogt, 2015). This </w:t>
      </w:r>
      <w:proofErr w:type="gramStart"/>
      <w:r w:rsidRPr="004E725E">
        <w:rPr>
          <w:rFonts w:eastAsia="Times New Roman" w:cs="Times New Roman"/>
          <w:szCs w:val="20"/>
          <w:lang w:val="en-GB" w:eastAsia="tr-TR"/>
        </w:rPr>
        <w:t>high level</w:t>
      </w:r>
      <w:proofErr w:type="gramEnd"/>
      <w:r w:rsidRPr="004E725E">
        <w:rPr>
          <w:rFonts w:eastAsia="Times New Roman" w:cs="Times New Roman"/>
          <w:szCs w:val="20"/>
          <w:lang w:val="en-GB" w:eastAsia="tr-TR"/>
        </w:rPr>
        <w:t xml:space="preserve"> regarding technology literacy shows that secondary school mathematics teachers have high self-perceptions about having all the knowledge, skills and attitudes related to the use of technology. Agyei and Voogt (2011), Kim et al. (2013) and Teo (2010) stated that teachers who do not have a positive attitude towards technology do not use technology in their classrooms. In this study, the teachers’ perceptions about considering themselves as technologically literate individuals may mean that they have a positive attitude towards technology. On the other hand, in some studies such as Carroll &amp; Morrell (2006) and Georgina &amp; Olson (2008), it was also stated that individuals cannot use technology effectively although their self-perceptions regarding technology literacy is high. Boschman, McKenney, and Voogt (2015) and Jen, Yeh, Hsu, Wu, and Chen (2016) noted that teachers learn theoretically to use technology but cannot put it into practice. According to Dincer (2018), although most of the prospective teachers say that they have knowledge, skills and positive attitudes about using technology in teaching activities, some observations revealed that they have a low level of technology literacy in terms of knowledge and skills.</w:t>
      </w:r>
    </w:p>
    <w:p w:rsidR="004E725E" w:rsidRPr="004E725E" w:rsidRDefault="004E725E" w:rsidP="004E725E">
      <w:pPr>
        <w:widowControl w:val="0"/>
        <w:suppressAutoHyphens w:val="0"/>
        <w:spacing w:line="360" w:lineRule="auto"/>
        <w:rPr>
          <w:rFonts w:eastAsia="Times New Roman" w:cs="Times New Roman"/>
          <w:szCs w:val="20"/>
          <w:lang w:val="en-GB" w:eastAsia="tr-TR"/>
        </w:rPr>
      </w:pPr>
    </w:p>
    <w:p w:rsidR="004E725E" w:rsidRP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 xml:space="preserve">The result that the secondary mathematics teachers have a high perception about their technology literacy should not mean that they use technology in the classroom. Mishra and Koehler (2006) highlighted that teachers should have the necessary knowledge and skills in terms of content, pedagogy and technology and that they should use these three areas interactively. Misuse of this interaction, the use of irrelevant or inappropriate technology may cause some negative effects on learning (Webb and Cox, 2004). Therefore, it is necessary to look for some answers for important problems in technology supported teaching. These questions are as follows: “What aspect of mathematics teaching and learning improves when teachers use technology??”, “Do teachers learn to teach technology?”, “Are teachers able to use technology both as a teaching tool and a learning tool?” (Polly &amp; Orrill, 2012). Future research should be conducted in order to develop environment-supported technologies by focusing on these problems. There are many studies examining the effects of using technology in mathematics teaching on learning mathematical concepts (Baki, 2002; Habre &amp; Abboud 2006; Heid, 1995; Kidron &amp; Tall, 2015). These studies show that technology-assisted mathematics teaching is effective in understanding mathematical concepts when technological tools are used "wisely" (Ball &amp; Stacey, 2005). Since teaching is a complex, uncertain and non-routine task (Rowan, 2002), it may be necessary for teachers to be proactive in taking actions beyond the standard. Therefore, determining the relationship between technology and proactive behaviors of teachers can be regarded as an important issue. Bandura, who combined cognitive learning theory with behaviourist theory to </w:t>
      </w:r>
      <w:r w:rsidR="008C6F26" w:rsidRPr="004E725E">
        <w:rPr>
          <w:rFonts w:eastAsia="Times New Roman" w:cs="Times New Roman"/>
          <w:szCs w:val="20"/>
          <w:lang w:val="en-GB" w:eastAsia="tr-TR"/>
        </w:rPr>
        <w:t>construct social</w:t>
      </w:r>
      <w:r w:rsidRPr="004E725E">
        <w:rPr>
          <w:rFonts w:eastAsia="Times New Roman" w:cs="Times New Roman"/>
          <w:szCs w:val="20"/>
          <w:lang w:val="en-GB" w:eastAsia="tr-TR"/>
        </w:rPr>
        <w:t xml:space="preserve"> cognitive learning theory, was the first to introduce the concept of self-efficacy (Bandura, 1986; Pajares, 2002). Social cognitive learning theory is based on the idea that human beings are self-regulating, self-reflecting, self-judging and proactive (foreseeing risks) (Bandura, 2001). Without a doubt, fostering mathematically literate individuals is one of the most important goals of education. For this purpose, it is noteworthy to develop affective competences (such as being proactive) as well as mathematical skills (Cantürk Günhan &amp; Başer, 2007). This situation highlights the value of being proactive as an emotional competence.</w:t>
      </w:r>
    </w:p>
    <w:p w:rsidR="004E725E" w:rsidRPr="004E725E" w:rsidRDefault="004E725E" w:rsidP="004E725E">
      <w:pPr>
        <w:widowControl w:val="0"/>
        <w:suppressAutoHyphens w:val="0"/>
        <w:spacing w:line="360" w:lineRule="auto"/>
        <w:rPr>
          <w:rFonts w:eastAsia="Times New Roman" w:cs="Times New Roman"/>
          <w:szCs w:val="20"/>
          <w:lang w:val="en-GB" w:eastAsia="tr-TR"/>
        </w:rPr>
      </w:pPr>
    </w:p>
    <w:p w:rsidR="004E725E" w:rsidRP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 xml:space="preserve">The second result of the research is that the secondary school mathematics teachers' perceptions are high regarding their proactive personality. In the study conducted by Yucel, Kocak and Cula (2009), the teachers preferred metaphors indicating proactive personality traits for themselves, while they preferred metaphors indicating reactive personality traits for students. In other words, teachers tend to regard themselves as active, and students </w:t>
      </w:r>
      <w:r w:rsidRPr="004E725E">
        <w:rPr>
          <w:rFonts w:eastAsia="Times New Roman" w:cs="Times New Roman"/>
          <w:szCs w:val="20"/>
          <w:lang w:val="en-GB" w:eastAsia="tr-TR"/>
        </w:rPr>
        <w:lastRenderedPageBreak/>
        <w:t>as passive. Proactive teachers participate in different activities as well as educational environments and they perform well beyond expectations through successful actions. Proactive people have a strong belief that they are responsible for their own development. Trying to achieve certain goals makes their lives meaningful. They believe in continuous development and therefore make great effort (Yucel, Kocak and Cula, 2009). It was observed that the secondary school mathematics teachers considered themselves sufficient in proactive personality. However, this situation does not necessarily mean that secondary school mathematics teachers exhibit proactive personality behaviors as indicated in their self-perceptions. Teachers may have a wrong perception in this direction. According to Schwarzer (1999), many teachers have reactive (non-proactive) personalities. Seibert, Crant and Kraimer (1999), Ashford and Black (1996), Crant (2000), Morrison (1993) revealed that proactive thinking has a positive effect on job performance. After carrying out a research project with two group and 177 participants, Kirby, Kirby and Lewis (2002) reported that proactive thinking was effective on student performance and performance variables. In this respect, it can be said that proactive teachers are a positive factor in establishing effective learning environments and school culture. Yucel, Kocak and Cula (2009) marked that science-based proactive viewpoints bring a new dimension to education and training. In addition, Kirby, Kirby and Lewis (2002) stated that proactivity is not stable over time and can be increased by education. This shows that trainings that will make the teachers proactive can be performed. In addition, Uncuoğlu Yolcu and Çakmak (2017) showed that proactive personality has a positive and significant effect on proactive working behavior and that psychological empowerment has partial mediation effect between proactive personality and proactive working behavior. It is crucialfor teachers to make their own decisions without waiting for orders or requests in order to demonstrate proactive working behavior. In this sense, teachers' psychological empowerment can be developed and active participation in events can be ensured. Taking initiative, taking risks, developing innovation and being in action are among the strongest entrepreneurial characteristics associated with success (Collins, 2007). The main components of entrepreneurship are considered as risk-taking, proactivity and innovation (George &amp; Zahra, 2002; Miller, 1983; Zahra &amp; Covin, 1995; Zhao, 2005). According to Hendron (2008), individuals with proactive personalities are able to seize opportunities in the organizational environment, perform actions related to organizational objectives and question the current situation. It is stated that proactive people are both more learning-oriented and more determined to improve their skills and abilities than those who are not proactive in their working life. In addition, proactive people can help their colleagues to make constructive change, share their knowledge with them, and use the resources of the organization they work for efficiently (Fuller, Marler, &amp; Hester, 2012). For mathematics teachers, it is pivotal to be proactive and take more initiative in the process in order to realize learning differently using innovative approaches. Math teachers must constantly look for new solutions and more effective ideas, approaches and initiatives. It is rare for teachers to take initiative by breaking away from the curriculum. In the learning processes, there is a need for interdisciplinary and innovative thinking styles that education mainly aims with approaches such as STEM, mathematical modeling, gamification, and flipped classroom. The proactive personality traits of mathematics teachers are of great importance in the integration of such new approaches into the mathematics learning process. In order for the change and innovations to be carried out successfully in the school, teachers must first adopt and accept the change, be open to change and adapt to change (Lee, 2000). Based on all these results, it can be stated that mathematics teachers who have high self-efficacy perception, that is, their perception of being able to perform a job, are more open to change, and therefore they will show less resistance to changes and innovations.</w:t>
      </w:r>
    </w:p>
    <w:p w:rsidR="00C8135E" w:rsidRDefault="00C8135E" w:rsidP="004E725E">
      <w:pPr>
        <w:widowControl w:val="0"/>
        <w:suppressAutoHyphens w:val="0"/>
        <w:spacing w:line="360" w:lineRule="auto"/>
        <w:rPr>
          <w:rFonts w:eastAsia="Times New Roman" w:cs="Times New Roman"/>
          <w:szCs w:val="20"/>
          <w:lang w:val="en-GB" w:eastAsia="tr-TR"/>
        </w:rPr>
      </w:pPr>
    </w:p>
    <w:p w:rsidR="004E725E" w:rsidRP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The third result of the study revealed that there was a moderately significant positive relationship between the secondary school mathematics teachers' perceptions about their technology literacy and their perceptions regarding own proactive personality. Also, it was suggested in the fourth result of the study that the secondary school mathematics teachers' perceptions about their own proactive personality explain 31% of their perceptions of their own technology literacy. In other words, the tendency of teachers having a proactive personality structure to become technologically literate individuals is at a positive and significant level. In this respect, it can be thought that the way in which teachers adopt proactive personalities in different ways will be a supportive force in their creating technology supported learning environments. Konaklıoğlu and Kızanıklı (2011) found a positive medium-level relationship between proactive personality and entrepreneurship intention in their study with 416 university students (r = 0.38). Considering that entrepreneurship is an important component of proactive personality, it can be said that a parallel result has been obtained. As Kyle et al. (2013), Saine et al. (2011) and, Van der Kooy-Hofland (2012) stated, teachers with proactive personality can be expected to be more responsible and entrepreneurial in gaining information about technology literacy and developing their skills. This will improve teachers' technology literacy competencies and make a difference in their teaching. In a study conducted by Li, Liu, Liu and Wang (2017) with 352 teachers, it was found that there was a significant positive correlation between proactive personalities and innovative behaviors of teachers (r = 0.34). Considering the fact that innovative behaviors are one of the important characteristics of technologically literate people, it is seen that Li, Liu, Liu and Wang’s (2017) study revealed results that support this study. In addition, it can be suggested that proactive individuals have a positive point of view on technology, technology innovations and technology literacy concepts, and they are more interested in gathering information about these concepts. As for the recommendations for the researchers, this study can be carried out with different groups of teachers. Apart from the teachers' own perceptions, students can be consulted, or course observations can be performed to reveal the skills related to technology literacy. The relationship between teachers' perception of technology literacy and proactive personality, and their skills in this direction can be examined. More objective results can be presented regarding technology literacy through different data collection tools. These studies can be conducted with teachers from different cultures, and the results can be compared. This study shows a cross-sectional result. Therefore, detailed cause-effect relationships cannot be revealed. Qualitative or mixed research techniques can also be utilised in this direction.</w:t>
      </w:r>
    </w:p>
    <w:p w:rsidR="004E725E" w:rsidRPr="004E725E" w:rsidRDefault="004E725E" w:rsidP="004E725E">
      <w:pPr>
        <w:widowControl w:val="0"/>
        <w:suppressAutoHyphens w:val="0"/>
        <w:spacing w:line="360" w:lineRule="auto"/>
        <w:rPr>
          <w:rFonts w:eastAsia="Times New Roman" w:cs="Times New Roman"/>
          <w:szCs w:val="20"/>
          <w:lang w:val="en-GB" w:eastAsia="tr-TR"/>
        </w:rPr>
      </w:pPr>
    </w:p>
    <w:p w:rsidR="004E725E" w:rsidRDefault="004E725E" w:rsidP="004E725E">
      <w:pPr>
        <w:widowControl w:val="0"/>
        <w:suppressAutoHyphens w:val="0"/>
        <w:spacing w:line="360" w:lineRule="auto"/>
        <w:rPr>
          <w:rFonts w:eastAsia="Times New Roman" w:cs="Times New Roman"/>
          <w:szCs w:val="20"/>
          <w:lang w:val="en-GB" w:eastAsia="tr-TR"/>
        </w:rPr>
      </w:pPr>
      <w:r w:rsidRPr="004E725E">
        <w:rPr>
          <w:rFonts w:eastAsia="Times New Roman" w:cs="Times New Roman"/>
          <w:szCs w:val="20"/>
          <w:lang w:val="en-GB" w:eastAsia="tr-TR"/>
        </w:rPr>
        <w:t xml:space="preserve">Considering the recommendations for practitioners, the high level of perceptions of prospective teachers on technology literacy and proactive personalities have advantages and disadvantages. The disadvantage of high perception is that teachers do not feel the need to develop themselves in this direction. In addition, although mathematics teachers may have high self-perceptions about their own technology literacies and proactive </w:t>
      </w:r>
      <w:proofErr w:type="gramStart"/>
      <w:r w:rsidRPr="004E725E">
        <w:rPr>
          <w:rFonts w:eastAsia="Times New Roman" w:cs="Times New Roman"/>
          <w:szCs w:val="20"/>
          <w:lang w:val="en-GB" w:eastAsia="tr-TR"/>
        </w:rPr>
        <w:t>personalities,their</w:t>
      </w:r>
      <w:proofErr w:type="gramEnd"/>
      <w:r w:rsidRPr="004E725E">
        <w:rPr>
          <w:rFonts w:eastAsia="Times New Roman" w:cs="Times New Roman"/>
          <w:szCs w:val="20"/>
          <w:lang w:val="en-GB" w:eastAsia="tr-TR"/>
        </w:rPr>
        <w:t xml:space="preserve"> technology literacy and proactive skills may be low in practice. This is about not being aware of themselves. To ensure this awareness, courses on technology literacy should be sufficiently given in teacher education (Dincer, 2018). Kirby, Kirby and Lewis (2002) maintained that skills related to proactive personality could be increased by appropriate training. These trainings can be determined and appropriate content can be prepared and put into practice in teacher training programs. In order to increase student achievement in mathematics, the collaboration of technology and mathematics educators is viewed as critical (Helgeson, 2010). </w:t>
      </w:r>
      <w:r w:rsidRPr="004E725E">
        <w:rPr>
          <w:rFonts w:eastAsia="Times New Roman" w:cs="Times New Roman"/>
          <w:szCs w:val="20"/>
          <w:lang w:val="en-GB" w:eastAsia="tr-TR"/>
        </w:rPr>
        <w:lastRenderedPageBreak/>
        <w:t>For mathematics and technology teachers, appropriate environments can be created for interdisciplinary studies, and digital content that mathematics teachers can use can be developed. In the study conducted by Rasmussen and Marrongella (2006), it was revealed that the role of proactive behaviors of teachers in understanding mathematics and creating an innovative learning environment made significant contributions. Yucel, Kocak, and Cula (2010) found that the majority of pre-service mathematics teachers preferred the metaphors that teachers should be people who display proactive behaviors. Inflexible rules and procedures can prevent teachers from taking the initiative to install new procedures and methods that improve their performance (Asgari, Silong, Ahmad &amp; Samah, 2008). In Bass's (1985) Multi-Factor Leadership Theory, it can be said that mathematics teachers in school cultures with transformational leaders can have environments where they can reveal their proactive personalities. The relationship between Bass's (1985) multifactorial leadership types (transformational, autonomous and sustaining) that school administrators have and the proactive structures of mathematics teachers at school may be an important research subject.</w:t>
      </w:r>
    </w:p>
    <w:p w:rsidR="00EF4342" w:rsidRDefault="00EF4342" w:rsidP="000C4D2C">
      <w:pPr>
        <w:widowControl w:val="0"/>
        <w:suppressAutoHyphens w:val="0"/>
        <w:spacing w:line="360" w:lineRule="auto"/>
        <w:rPr>
          <w:rFonts w:eastAsia="Times New Roman" w:cs="Times New Roman"/>
          <w:szCs w:val="20"/>
          <w:lang w:val="en-GB" w:eastAsia="tr-TR"/>
        </w:rPr>
      </w:pPr>
    </w:p>
    <w:bookmarkEnd w:id="0"/>
    <w:bookmarkEnd w:id="1"/>
    <w:p w:rsidR="0061751E" w:rsidRPr="009B6AB6" w:rsidRDefault="0061751E" w:rsidP="00176378">
      <w:pPr>
        <w:widowControl w:val="0"/>
        <w:suppressAutoHyphens w:val="0"/>
        <w:spacing w:line="360" w:lineRule="auto"/>
        <w:rPr>
          <w:b/>
        </w:rPr>
      </w:pPr>
      <w:r w:rsidRPr="006E5717">
        <w:rPr>
          <w:b/>
          <w:sz w:val="24"/>
        </w:rPr>
        <w:t>References</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Agyei, D. D., &amp; Voogt, J. M. (2011). Exploring the potential of the will, skill, tool model in Ghana: Predicting prospective and practicing teachers’ use of technology. </w:t>
      </w:r>
      <w:r w:rsidRPr="008F500D">
        <w:rPr>
          <w:i/>
          <w:iCs/>
          <w:szCs w:val="20"/>
          <w:lang w:val="tr-TR"/>
        </w:rPr>
        <w:t>Computers and Education</w:t>
      </w:r>
      <w:r w:rsidRPr="008F500D">
        <w:rPr>
          <w:szCs w:val="20"/>
          <w:lang w:val="tr-TR"/>
        </w:rPr>
        <w:t xml:space="preserve">, </w:t>
      </w:r>
      <w:r w:rsidRPr="008F500D">
        <w:rPr>
          <w:i/>
          <w:iCs/>
          <w:szCs w:val="20"/>
          <w:lang w:val="tr-TR"/>
        </w:rPr>
        <w:t>56</w:t>
      </w:r>
      <w:r w:rsidRPr="008F500D">
        <w:rPr>
          <w:szCs w:val="20"/>
          <w:lang w:val="tr-TR"/>
        </w:rPr>
        <w:t xml:space="preserve">(1), 91-100.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Akın, A., Abacı, R., Kaya, M., &amp; Arıcı, N. (2011, June). </w:t>
      </w:r>
      <w:r w:rsidRPr="008F500D">
        <w:rPr>
          <w:i/>
          <w:szCs w:val="20"/>
          <w:lang w:val="tr-TR"/>
        </w:rPr>
        <w:t>Kısaltılmış Proaktif Kişilik Ölçeği’nin (KPÖ) Türkçe formunun geçerlik ve güvenirliği</w:t>
      </w:r>
      <w:r w:rsidRPr="008F500D">
        <w:rPr>
          <w:szCs w:val="20"/>
          <w:lang w:val="tr-TR"/>
        </w:rPr>
        <w:t>. Paper presented at the ICES11 International Conference on Educational Sciences, Famagusta, Cyprus.</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Akpınar, Y. (2003). Öğretmenlerin yeni bilgi teknolojileri kullanımında yükseköğretimin etkisi: İstanbul okulları örneği. </w:t>
      </w:r>
      <w:r w:rsidRPr="008F500D">
        <w:rPr>
          <w:i/>
          <w:iCs/>
          <w:szCs w:val="20"/>
          <w:lang w:val="tr-TR"/>
        </w:rPr>
        <w:t>The Turkish Online Journal of Educational Technology-TOJET</w:t>
      </w:r>
      <w:r w:rsidRPr="008F500D">
        <w:rPr>
          <w:i/>
          <w:szCs w:val="20"/>
          <w:lang w:val="tr-TR"/>
        </w:rPr>
        <w:t xml:space="preserve">, </w:t>
      </w:r>
      <w:r w:rsidRPr="008F500D">
        <w:rPr>
          <w:i/>
          <w:iCs/>
          <w:szCs w:val="20"/>
          <w:lang w:val="tr-TR"/>
        </w:rPr>
        <w:t>2</w:t>
      </w:r>
      <w:r w:rsidRPr="008F500D">
        <w:rPr>
          <w:szCs w:val="20"/>
          <w:lang w:val="tr-TR"/>
        </w:rPr>
        <w:t>(2), 79-96.</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Angeli, C., &amp; Valanides, N. (2009). Epistemological and methodological issues for the conceptualization, development, and assessment of ICT–TPCK: Advances in technological pedagogical content knowledge (TPCK). </w:t>
      </w:r>
      <w:r w:rsidRPr="008F500D">
        <w:rPr>
          <w:i/>
          <w:szCs w:val="20"/>
          <w:lang w:val="tr-TR"/>
        </w:rPr>
        <w:t>Computers &amp; Education, 52</w:t>
      </w:r>
      <w:r w:rsidRPr="008F500D">
        <w:rPr>
          <w:szCs w:val="20"/>
          <w:lang w:val="tr-TR"/>
        </w:rPr>
        <w:t>(1), 154–168.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Asgari, A., Silong, A. D., Ahmad A., &amp; Samah, B. A. (2008). The relationship between leader-member exchange, organizational inflexibility, perceived organizational support, interactional justice and organizational citizenship behaviour. </w:t>
      </w:r>
      <w:r w:rsidRPr="008F500D">
        <w:rPr>
          <w:i/>
          <w:szCs w:val="20"/>
          <w:lang w:val="tr-TR"/>
        </w:rPr>
        <w:t>African Journal of Business Management, 2</w:t>
      </w:r>
      <w:r w:rsidRPr="008F500D">
        <w:rPr>
          <w:szCs w:val="20"/>
          <w:lang w:val="tr-TR"/>
        </w:rPr>
        <w:t>(8), 138-145.</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Ashford, S. J., &amp; Black, J. S. (1996). Proactivity during organizational entry: The role of desire for control. </w:t>
      </w:r>
      <w:r w:rsidRPr="008F500D">
        <w:rPr>
          <w:i/>
          <w:iCs/>
          <w:szCs w:val="20"/>
          <w:lang w:val="tr-TR"/>
        </w:rPr>
        <w:t>Journal of Applied Psychology</w:t>
      </w:r>
      <w:r w:rsidRPr="008F500D">
        <w:rPr>
          <w:szCs w:val="20"/>
          <w:lang w:val="tr-TR"/>
        </w:rPr>
        <w:t xml:space="preserve">, </w:t>
      </w:r>
      <w:r w:rsidRPr="008F500D">
        <w:rPr>
          <w:i/>
          <w:iCs/>
          <w:szCs w:val="20"/>
          <w:lang w:val="tr-TR"/>
        </w:rPr>
        <w:t>81</w:t>
      </w:r>
      <w:r w:rsidRPr="008F500D">
        <w:rPr>
          <w:szCs w:val="20"/>
          <w:lang w:val="tr-TR"/>
        </w:rPr>
        <w:t>(2), 199-214.</w:t>
      </w:r>
    </w:p>
    <w:p w:rsidR="00D536F0" w:rsidRPr="008F500D" w:rsidRDefault="00D536F0" w:rsidP="00A477E0">
      <w:pPr>
        <w:tabs>
          <w:tab w:val="left" w:pos="426"/>
        </w:tabs>
        <w:suppressAutoHyphens w:val="0"/>
        <w:spacing w:line="360" w:lineRule="auto"/>
        <w:ind w:left="567" w:hanging="567"/>
        <w:rPr>
          <w:rFonts w:eastAsia="Times New Roman" w:cs="Times New Roman"/>
          <w:szCs w:val="20"/>
          <w:lang w:val="tr-TR" w:eastAsia="tr-TR"/>
        </w:rPr>
      </w:pPr>
      <w:r w:rsidRPr="008F500D">
        <w:rPr>
          <w:rFonts w:eastAsia="Times New Roman" w:cs="Times New Roman"/>
          <w:szCs w:val="20"/>
          <w:shd w:val="clear" w:color="auto" w:fill="FFFFFF"/>
          <w:lang w:val="tr-TR" w:eastAsia="tr-TR"/>
        </w:rPr>
        <w:t xml:space="preserve">Aybatan, K. (2018). </w:t>
      </w:r>
      <w:r w:rsidRPr="008F500D">
        <w:rPr>
          <w:rFonts w:eastAsia="Times New Roman" w:cs="Times New Roman"/>
          <w:i/>
          <w:szCs w:val="20"/>
          <w:shd w:val="clear" w:color="auto" w:fill="FFFFFF"/>
          <w:lang w:val="tr-TR" w:eastAsia="tr-TR"/>
        </w:rPr>
        <w:t>Çalışanların proaktif kişilik özellikleri ile duygu yönetimleri arasındaki ilişkinin incelenmesi</w:t>
      </w:r>
      <w:r w:rsidRPr="008F500D">
        <w:rPr>
          <w:rFonts w:eastAsia="Times New Roman" w:cs="Times New Roman"/>
          <w:szCs w:val="20"/>
          <w:shd w:val="clear" w:color="auto" w:fill="FFFFFF"/>
          <w:lang w:val="tr-TR" w:eastAsia="tr-TR"/>
        </w:rPr>
        <w:t>. Master Dissertation, Istanbul Gelisim University, Institute of Social Sciences, Istanbul.</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Baki, A. (2002). </w:t>
      </w:r>
      <w:r w:rsidRPr="008F500D">
        <w:rPr>
          <w:i/>
          <w:szCs w:val="20"/>
          <w:lang w:val="tr-TR"/>
        </w:rPr>
        <w:t>Öğrenen ve öğretenler için bilgisayar destekli matematik</w:t>
      </w:r>
      <w:r w:rsidRPr="008F500D">
        <w:rPr>
          <w:szCs w:val="20"/>
          <w:lang w:val="tr-TR"/>
        </w:rPr>
        <w:t>. Istanbul: Ceren Yayın Dağıtım.</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Ball, L. &amp; Stacey, K. (2005). Teaching strategies for developing judicious technology use. In W. J. Masalski &amp; P. C. Elliott (Eds), </w:t>
      </w:r>
      <w:r w:rsidRPr="008F500D">
        <w:rPr>
          <w:i/>
          <w:szCs w:val="20"/>
          <w:lang w:val="tr-TR"/>
        </w:rPr>
        <w:t>Technology-supported mathematics learning environments: Sixty-seventh yearbook</w:t>
      </w:r>
      <w:r w:rsidRPr="008F500D">
        <w:rPr>
          <w:szCs w:val="20"/>
          <w:lang w:val="tr-TR"/>
        </w:rPr>
        <w:t xml:space="preserve"> (pp. 3-15). Reston, VA: National Council of Teachers of Mathematics.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Bandura, A. (1986). </w:t>
      </w:r>
      <w:r w:rsidRPr="008F500D">
        <w:rPr>
          <w:i/>
          <w:szCs w:val="20"/>
          <w:lang w:val="tr-TR"/>
        </w:rPr>
        <w:t>Social foundations of thought and action: A social cognitive theory</w:t>
      </w:r>
      <w:r w:rsidRPr="008F500D">
        <w:rPr>
          <w:szCs w:val="20"/>
          <w:lang w:val="tr-TR"/>
        </w:rPr>
        <w:t>. Englewood Cliffs, NJ: Prentice Hall.</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Bandura, A. (2001). Social cognitive theory: An agentive perspective. </w:t>
      </w:r>
      <w:r w:rsidRPr="008F500D">
        <w:rPr>
          <w:i/>
          <w:szCs w:val="20"/>
          <w:lang w:val="tr-TR"/>
        </w:rPr>
        <w:t>Annual Review of Psychology, 52</w:t>
      </w:r>
      <w:r w:rsidRPr="008F500D">
        <w:rPr>
          <w:szCs w:val="20"/>
          <w:lang w:val="tr-TR"/>
        </w:rPr>
        <w:t>, 1-26.</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Barr, V., &amp;Stephenson, C. (2011). Bringing computational thinking to K-12: What is involved and what is the role of the computer science education </w:t>
      </w:r>
      <w:proofErr w:type="gramStart"/>
      <w:r w:rsidRPr="008F500D">
        <w:rPr>
          <w:szCs w:val="20"/>
          <w:lang w:val="tr-TR"/>
        </w:rPr>
        <w:t>community?.</w:t>
      </w:r>
      <w:proofErr w:type="gramEnd"/>
      <w:r w:rsidRPr="008F500D">
        <w:rPr>
          <w:szCs w:val="20"/>
          <w:lang w:val="tr-TR"/>
        </w:rPr>
        <w:t xml:space="preserve"> </w:t>
      </w:r>
      <w:r w:rsidRPr="008F500D">
        <w:rPr>
          <w:i/>
          <w:szCs w:val="20"/>
          <w:lang w:val="tr-TR"/>
        </w:rPr>
        <w:t xml:space="preserve">ACM Inroads, </w:t>
      </w:r>
      <w:r w:rsidRPr="008F500D">
        <w:rPr>
          <w:i/>
          <w:iCs/>
          <w:szCs w:val="20"/>
          <w:lang w:val="tr-TR"/>
        </w:rPr>
        <w:t>2</w:t>
      </w:r>
      <w:r w:rsidRPr="008F500D">
        <w:rPr>
          <w:szCs w:val="20"/>
          <w:lang w:val="tr-TR"/>
        </w:rPr>
        <w:t>(1), 48-54.</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lastRenderedPageBreak/>
        <w:t xml:space="preserve">Bateman, T. S., &amp; Crant, J. M. (1993). The pro-active component of organizational behavior: A measure and correlates. </w:t>
      </w:r>
      <w:r w:rsidRPr="008F500D">
        <w:rPr>
          <w:i/>
          <w:iCs/>
          <w:szCs w:val="20"/>
          <w:lang w:val="tr-TR"/>
        </w:rPr>
        <w:t>Journal of Organizational Behavior</w:t>
      </w:r>
      <w:r w:rsidRPr="008F500D">
        <w:rPr>
          <w:i/>
          <w:szCs w:val="20"/>
          <w:lang w:val="tr-TR"/>
        </w:rPr>
        <w:t>, 14</w:t>
      </w:r>
      <w:r w:rsidRPr="008F500D">
        <w:rPr>
          <w:szCs w:val="20"/>
          <w:lang w:val="tr-TR"/>
        </w:rPr>
        <w:t>, 103-118.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Bateman, T., &amp; Crant, M. (1993) The proactive component of organizational behavior: A measure and correlates. </w:t>
      </w:r>
      <w:r w:rsidRPr="008F500D">
        <w:rPr>
          <w:i/>
          <w:szCs w:val="20"/>
          <w:lang w:val="tr-TR"/>
        </w:rPr>
        <w:t>Journal of Organizational Behavior, 14</w:t>
      </w:r>
      <w:r w:rsidRPr="008F500D">
        <w:rPr>
          <w:szCs w:val="20"/>
          <w:lang w:val="tr-TR"/>
        </w:rPr>
        <w:t>, 103-118.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Belschak. F., Den Hartog, D., &amp; Fay, D. (2010). Exploring positive, negative and context-dependent aspects of proactive behaviours at work. </w:t>
      </w:r>
      <w:r w:rsidRPr="008F500D">
        <w:rPr>
          <w:i/>
          <w:szCs w:val="20"/>
          <w:lang w:val="tr-TR"/>
        </w:rPr>
        <w:t>Journal of Occupational and Organizational Psychology, 83</w:t>
      </w:r>
      <w:r w:rsidRPr="008F500D">
        <w:rPr>
          <w:szCs w:val="20"/>
          <w:lang w:val="tr-TR"/>
        </w:rPr>
        <w:t>, 267-273.</w:t>
      </w:r>
    </w:p>
    <w:p w:rsidR="00854A62" w:rsidRDefault="00854A62" w:rsidP="00854A62">
      <w:pPr>
        <w:widowControl w:val="0"/>
        <w:suppressAutoHyphens w:val="0"/>
        <w:spacing w:line="360" w:lineRule="auto"/>
        <w:ind w:left="567" w:hanging="567"/>
      </w:pPr>
      <w:r>
        <w:t xml:space="preserve">Bergeson, K. &amp; Beschorner, B. (2020). Modeling and scaffolding the technology integration planning cycle for pre-service teachers: A case study. </w:t>
      </w:r>
      <w:r w:rsidRPr="0065360F">
        <w:rPr>
          <w:i/>
        </w:rPr>
        <w:t>International Journal of Education in Mathematics, Science and Technology (IJEMST), 8</w:t>
      </w:r>
      <w:r>
        <w:t>(4), 330-341.</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Bledow, R., &amp; Frese, M. (2009). A situational judgment test of personal initiative. </w:t>
      </w:r>
      <w:r w:rsidRPr="008F500D">
        <w:rPr>
          <w:i/>
          <w:iCs/>
          <w:szCs w:val="20"/>
          <w:lang w:val="tr-TR"/>
        </w:rPr>
        <w:t>Personnel Psychology</w:t>
      </w:r>
      <w:r w:rsidRPr="008F500D">
        <w:rPr>
          <w:i/>
          <w:szCs w:val="20"/>
          <w:lang w:val="tr-TR"/>
        </w:rPr>
        <w:t>, 62</w:t>
      </w:r>
      <w:r w:rsidRPr="008F500D">
        <w:rPr>
          <w:szCs w:val="20"/>
          <w:lang w:val="tr-TR"/>
        </w:rPr>
        <w:t>, 229-258.</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Bozbayındır, F., &amp; Alev, S. (2017, May). </w:t>
      </w:r>
      <w:r w:rsidRPr="008F500D">
        <w:rPr>
          <w:i/>
          <w:szCs w:val="20"/>
          <w:lang w:val="tr-TR"/>
        </w:rPr>
        <w:t>Öz yeterlik, proaktif kişilik ve değişime açıklık arasındaki ilişki</w:t>
      </w:r>
      <w:r w:rsidRPr="008F500D">
        <w:rPr>
          <w:szCs w:val="20"/>
          <w:lang w:val="tr-TR"/>
        </w:rPr>
        <w:t xml:space="preserve">. Paper presented at the 12th International Congress on Educational Administration, Ankara, Turkey.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rPr>
        <w:t xml:space="preserve">Business Dictionary, (2019). </w:t>
      </w:r>
      <w:r w:rsidRPr="008F500D">
        <w:rPr>
          <w:i/>
          <w:szCs w:val="20"/>
        </w:rPr>
        <w:t>Proactive</w:t>
      </w:r>
      <w:r w:rsidRPr="008F500D">
        <w:rPr>
          <w:szCs w:val="20"/>
        </w:rPr>
        <w:t xml:space="preserve">. </w:t>
      </w:r>
      <w:r w:rsidRPr="008F500D">
        <w:rPr>
          <w:szCs w:val="20"/>
          <w:lang w:val="tr-TR"/>
        </w:rPr>
        <w:t>Retrieved from</w:t>
      </w:r>
      <w:r w:rsidRPr="008F500D">
        <w:rPr>
          <w:szCs w:val="20"/>
        </w:rPr>
        <w:t xml:space="preserve"> </w:t>
      </w:r>
      <w:hyperlink r:id="rId7" w:history="1">
        <w:r w:rsidRPr="008F500D">
          <w:rPr>
            <w:szCs w:val="20"/>
          </w:rPr>
          <w:t>http://www.businessdictionary.com/definition/proactive.html</w:t>
        </w:r>
      </w:hyperlink>
      <w:r w:rsidRPr="008F500D">
        <w:rPr>
          <w:szCs w:val="20"/>
          <w:lang w:val="tr-TR"/>
        </w:rPr>
        <w:t>.</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Bybee, R. W. (2010). What is STEM education. </w:t>
      </w:r>
      <w:r w:rsidRPr="008F500D">
        <w:rPr>
          <w:i/>
          <w:szCs w:val="20"/>
          <w:lang w:val="tr-TR"/>
        </w:rPr>
        <w:t>Science, 329</w:t>
      </w:r>
      <w:r w:rsidRPr="008F500D">
        <w:rPr>
          <w:szCs w:val="20"/>
          <w:lang w:val="tr-TR"/>
        </w:rPr>
        <w:t>(5995), 996.</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Callava, T. M. (2007). </w:t>
      </w:r>
      <w:r w:rsidRPr="008F500D">
        <w:rPr>
          <w:i/>
          <w:szCs w:val="20"/>
          <w:lang w:val="tr-TR"/>
        </w:rPr>
        <w:t>Mainstream social science faculty uses and attitudes towards ınformation technologies</w:t>
      </w:r>
      <w:r w:rsidRPr="008F500D">
        <w:rPr>
          <w:szCs w:val="20"/>
          <w:lang w:val="tr-TR"/>
        </w:rPr>
        <w:t xml:space="preserve">. Unpublished Doctoral Dissertation, Capella University, Minneapolis, United States.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rPr>
        <w:t xml:space="preserve">Cambridge Dictionary, (2019). </w:t>
      </w:r>
      <w:r w:rsidRPr="008F500D">
        <w:rPr>
          <w:i/>
          <w:szCs w:val="20"/>
        </w:rPr>
        <w:t>Proactive</w:t>
      </w:r>
      <w:r w:rsidRPr="008F500D">
        <w:rPr>
          <w:szCs w:val="20"/>
        </w:rPr>
        <w:t xml:space="preserve">. </w:t>
      </w:r>
      <w:r w:rsidRPr="008F500D">
        <w:rPr>
          <w:szCs w:val="20"/>
          <w:lang w:val="tr-TR"/>
        </w:rPr>
        <w:t>Retrieved from</w:t>
      </w:r>
      <w:r w:rsidRPr="008F500D">
        <w:rPr>
          <w:szCs w:val="20"/>
        </w:rPr>
        <w:t xml:space="preserve"> </w:t>
      </w:r>
      <w:hyperlink r:id="rId8" w:history="1">
        <w:r w:rsidRPr="008F500D">
          <w:rPr>
            <w:szCs w:val="20"/>
            <w:lang w:val="tr-TR"/>
          </w:rPr>
          <w:t>https://dictionary.cambridge.org/dictionary/turkish/proactive</w:t>
        </w:r>
      </w:hyperlink>
      <w:r w:rsidRPr="008F500D">
        <w:rPr>
          <w:szCs w:val="20"/>
          <w:lang w:val="tr-TR"/>
        </w:rPr>
        <w:t>.</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Canter, L., &amp; Canter, M. (2001). </w:t>
      </w:r>
      <w:r w:rsidRPr="008F500D">
        <w:rPr>
          <w:i/>
          <w:szCs w:val="20"/>
          <w:lang w:val="tr-TR"/>
        </w:rPr>
        <w:t>Assertive discipline positive behavior management for todays’ classroom</w:t>
      </w:r>
      <w:r w:rsidRPr="008F500D">
        <w:rPr>
          <w:szCs w:val="20"/>
          <w:lang w:val="tr-TR"/>
        </w:rPr>
        <w:t>. Third Edition. Los Angeles, CA: Canter &amp; Associates.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Cantürk-Günhan, B. &amp; Başer, N. (2007). The development of self-effıcacy scale toward geometry. </w:t>
      </w:r>
      <w:r w:rsidRPr="008F500D">
        <w:rPr>
          <w:i/>
          <w:szCs w:val="20"/>
          <w:lang w:val="tr-TR"/>
        </w:rPr>
        <w:t>Hacettepe University, Journal of Education, 33</w:t>
      </w:r>
      <w:r w:rsidRPr="008F500D">
        <w:rPr>
          <w:szCs w:val="20"/>
          <w:lang w:val="tr-TR"/>
        </w:rPr>
        <w:t>, 68-76.</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Carroll J. B. &amp; Morrell, P. D. (2006). A comparison of teacher education faculty and preservice teacher technology competence. </w:t>
      </w:r>
      <w:r w:rsidRPr="008F500D">
        <w:rPr>
          <w:i/>
          <w:szCs w:val="20"/>
          <w:lang w:val="tr-TR"/>
        </w:rPr>
        <w:t>Journal of Computing in Teacher Education, 23</w:t>
      </w:r>
      <w:r w:rsidRPr="008F500D">
        <w:rPr>
          <w:szCs w:val="20"/>
          <w:lang w:val="tr-TR"/>
        </w:rPr>
        <w:t>(1), 5-10.</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Cerit, Y., &amp; Akgün, N. (2015). Okulun örgüt yapısı ile sınıf öğretmenlerinin proaktif davranışları arasındaki ilişki. </w:t>
      </w:r>
      <w:r w:rsidRPr="008F500D">
        <w:rPr>
          <w:i/>
          <w:iCs/>
          <w:szCs w:val="20"/>
          <w:lang w:val="tr-TR"/>
        </w:rPr>
        <w:t>Kastamonu Education Journal</w:t>
      </w:r>
      <w:r w:rsidRPr="008F500D">
        <w:rPr>
          <w:szCs w:val="20"/>
          <w:lang w:val="tr-TR"/>
        </w:rPr>
        <w:t xml:space="preserve">, </w:t>
      </w:r>
      <w:r w:rsidRPr="008F500D">
        <w:rPr>
          <w:i/>
          <w:iCs/>
          <w:szCs w:val="20"/>
          <w:lang w:val="tr-TR"/>
        </w:rPr>
        <w:t>23</w:t>
      </w:r>
      <w:r w:rsidRPr="008F500D">
        <w:rPr>
          <w:szCs w:val="20"/>
          <w:lang w:val="tr-TR"/>
        </w:rPr>
        <w:t xml:space="preserve">(4), 1789-1802.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Cetin, F. (2011). Örgüt içi girişimcilikte öz yeterlilik algısı ve kontrol odağının rolü. </w:t>
      </w:r>
      <w:r w:rsidRPr="008F500D">
        <w:rPr>
          <w:i/>
          <w:szCs w:val="20"/>
          <w:lang w:val="tr-TR"/>
        </w:rPr>
        <w:t>Business and Economics Research Journal, 2</w:t>
      </w:r>
      <w:r w:rsidRPr="008F500D">
        <w:rPr>
          <w:szCs w:val="20"/>
          <w:lang w:val="tr-TR"/>
        </w:rPr>
        <w:t>(3), 69-85.</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Claes, R., Beheydt, C., &amp; Lemmens, B. (2005). Unidimensionality of abbreviated proactive personality scales across cultures. </w:t>
      </w:r>
      <w:r w:rsidRPr="008F500D">
        <w:rPr>
          <w:i/>
          <w:iCs/>
          <w:szCs w:val="20"/>
          <w:lang w:val="tr-TR"/>
        </w:rPr>
        <w:t>Applied Psychology: An International Journal</w:t>
      </w:r>
      <w:r w:rsidRPr="008F500D">
        <w:rPr>
          <w:i/>
          <w:szCs w:val="20"/>
          <w:lang w:val="tr-TR"/>
        </w:rPr>
        <w:t>, 54</w:t>
      </w:r>
      <w:r w:rsidRPr="008F500D">
        <w:rPr>
          <w:szCs w:val="20"/>
          <w:lang w:val="tr-TR"/>
        </w:rPr>
        <w:t>, 476–489.</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Collins, D. D. (2007). </w:t>
      </w:r>
      <w:r w:rsidRPr="008F500D">
        <w:rPr>
          <w:i/>
          <w:szCs w:val="20"/>
          <w:lang w:val="tr-TR"/>
        </w:rPr>
        <w:t>Entrepreneurial success: The effect of fear on human performance</w:t>
      </w:r>
      <w:r w:rsidRPr="008F500D">
        <w:rPr>
          <w:szCs w:val="20"/>
          <w:lang w:val="tr-TR"/>
        </w:rPr>
        <w:t>, Retrieved from https://search.proquest.com/docview/304723032?pq-origsite=gscholar&amp;fromopenview=true.</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Covey, S. R. (2004). </w:t>
      </w:r>
      <w:r w:rsidRPr="008F500D">
        <w:rPr>
          <w:i/>
          <w:szCs w:val="20"/>
          <w:lang w:val="tr-TR"/>
        </w:rPr>
        <w:t>The 7 habits of highly effective people: Powerful lessons in personal change</w:t>
      </w:r>
      <w:r w:rsidRPr="008F500D">
        <w:rPr>
          <w:szCs w:val="20"/>
          <w:lang w:val="tr-TR"/>
        </w:rPr>
        <w:t>. New York, NY: Simon &amp; Schuster.</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Crant, J. M. (2000). Proactive behavior in organizations. </w:t>
      </w:r>
      <w:r w:rsidRPr="008F500D">
        <w:rPr>
          <w:i/>
          <w:iCs/>
          <w:szCs w:val="20"/>
          <w:lang w:val="tr-TR"/>
        </w:rPr>
        <w:t>Journal of Management</w:t>
      </w:r>
      <w:r w:rsidRPr="008F500D">
        <w:rPr>
          <w:i/>
          <w:szCs w:val="20"/>
          <w:lang w:val="tr-TR"/>
        </w:rPr>
        <w:t>, 26</w:t>
      </w:r>
      <w:r w:rsidRPr="008F500D">
        <w:rPr>
          <w:szCs w:val="20"/>
          <w:lang w:val="tr-TR"/>
        </w:rPr>
        <w:t>, 435–462</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De Dreu, C. K. W. (2006). When too little or too much hurts: Evidence for a curvilinear relationship between task conflict and innovation in teams. </w:t>
      </w:r>
      <w:r w:rsidRPr="008F500D">
        <w:rPr>
          <w:i/>
          <w:szCs w:val="20"/>
          <w:lang w:val="tr-TR"/>
        </w:rPr>
        <w:t>Journal of Management, 32</w:t>
      </w:r>
      <w:r w:rsidRPr="008F500D">
        <w:rPr>
          <w:szCs w:val="20"/>
          <w:lang w:val="tr-TR"/>
        </w:rPr>
        <w:t>(1), 83-107.</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Dincer, S. (2018). Are preservice teachers really literate enough to integrate technology in their classroom </w:t>
      </w:r>
      <w:proofErr w:type="gramStart"/>
      <w:r w:rsidRPr="008F500D">
        <w:rPr>
          <w:szCs w:val="20"/>
          <w:lang w:val="tr-TR"/>
        </w:rPr>
        <w:lastRenderedPageBreak/>
        <w:t>practice?.</w:t>
      </w:r>
      <w:proofErr w:type="gramEnd"/>
      <w:r w:rsidRPr="008F500D">
        <w:rPr>
          <w:szCs w:val="20"/>
          <w:lang w:val="tr-TR"/>
        </w:rPr>
        <w:t xml:space="preserve"> </w:t>
      </w:r>
      <w:r w:rsidRPr="008F500D">
        <w:rPr>
          <w:i/>
          <w:szCs w:val="20"/>
          <w:lang w:val="tr-TR"/>
        </w:rPr>
        <w:t>Education and Information Technologies, 23</w:t>
      </w:r>
      <w:r w:rsidRPr="008F500D">
        <w:rPr>
          <w:szCs w:val="20"/>
          <w:lang w:val="tr-TR"/>
        </w:rPr>
        <w:t>, 2699-2718.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DiPaola, M. F., &amp; Hoy, W. K. (2005). School characteristics that foster organizational citizenship behavior. </w:t>
      </w:r>
      <w:r w:rsidRPr="008F500D">
        <w:rPr>
          <w:i/>
          <w:szCs w:val="20"/>
          <w:lang w:val="tr-TR"/>
        </w:rPr>
        <w:t>Journal of School Leadership, 15</w:t>
      </w:r>
      <w:r w:rsidRPr="008F500D">
        <w:rPr>
          <w:szCs w:val="20"/>
          <w:lang w:val="tr-TR"/>
        </w:rPr>
        <w:t>, 308-326.</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Dobres, M., &amp; Hoffman, C.R. (1994). Social agency and the dynamics of prehistoric technology</w:t>
      </w:r>
      <w:r w:rsidRPr="008F500D">
        <w:rPr>
          <w:i/>
          <w:iCs/>
          <w:szCs w:val="20"/>
          <w:lang w:val="tr-TR"/>
        </w:rPr>
        <w:t>. Journal of Archaeological Method and Theory</w:t>
      </w:r>
      <w:r w:rsidRPr="008F500D">
        <w:rPr>
          <w:szCs w:val="20"/>
          <w:lang w:val="tr-TR"/>
        </w:rPr>
        <w:t xml:space="preserve">, </w:t>
      </w:r>
      <w:r w:rsidRPr="008F500D">
        <w:rPr>
          <w:i/>
          <w:szCs w:val="20"/>
          <w:lang w:val="tr-TR"/>
        </w:rPr>
        <w:t>1</w:t>
      </w:r>
      <w:r w:rsidRPr="008F500D">
        <w:rPr>
          <w:szCs w:val="20"/>
          <w:lang w:val="tr-TR"/>
        </w:rPr>
        <w:t>(3), 211-258.</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Erdoğan, B., &amp; Bauer, T. N. (2005). Enhancing career benefits of employee proactive personality: The role of fit with jobs and organizations. </w:t>
      </w:r>
      <w:r w:rsidRPr="008F500D">
        <w:rPr>
          <w:i/>
          <w:iCs/>
          <w:szCs w:val="20"/>
          <w:lang w:val="tr-TR"/>
        </w:rPr>
        <w:t>Personnel Psychology</w:t>
      </w:r>
      <w:r w:rsidRPr="008F500D">
        <w:rPr>
          <w:szCs w:val="20"/>
          <w:lang w:val="tr-TR"/>
        </w:rPr>
        <w:t xml:space="preserve">, </w:t>
      </w:r>
      <w:r w:rsidRPr="008F500D">
        <w:rPr>
          <w:i/>
          <w:szCs w:val="20"/>
          <w:lang w:val="tr-TR"/>
        </w:rPr>
        <w:t>58</w:t>
      </w:r>
      <w:r w:rsidRPr="008F500D">
        <w:rPr>
          <w:szCs w:val="20"/>
          <w:lang w:val="tr-TR"/>
        </w:rPr>
        <w:t>, 859-891.</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Frese, M., &amp; Fay, D. (2001). 4. Personal initiative: An active performance concept for work in the 21st century. </w:t>
      </w:r>
      <w:r w:rsidRPr="008F500D">
        <w:rPr>
          <w:i/>
          <w:szCs w:val="20"/>
          <w:lang w:val="tr-TR"/>
        </w:rPr>
        <w:t>Research in Organizational Behavior, 23</w:t>
      </w:r>
      <w:r w:rsidRPr="008F500D">
        <w:rPr>
          <w:szCs w:val="20"/>
          <w:lang w:val="tr-TR"/>
        </w:rPr>
        <w:t>, 133-187</w:t>
      </w:r>
    </w:p>
    <w:p w:rsidR="00D536F0" w:rsidRPr="008F500D" w:rsidRDefault="00D536F0" w:rsidP="00A477E0">
      <w:pPr>
        <w:tabs>
          <w:tab w:val="left" w:pos="426"/>
        </w:tabs>
        <w:spacing w:line="360" w:lineRule="auto"/>
        <w:ind w:left="567" w:hanging="567"/>
        <w:rPr>
          <w:i/>
          <w:szCs w:val="20"/>
          <w:lang w:val="tr-TR"/>
        </w:rPr>
      </w:pPr>
      <w:r w:rsidRPr="008F500D">
        <w:rPr>
          <w:i/>
          <w:szCs w:val="20"/>
          <w:lang w:val="tr-TR"/>
        </w:rPr>
        <w:t>Freudenthal, H. (1991). Revisiting mathematics education. China Lectures, Kluwer Academic Publishers, Dordrecht, The Netherlands.</w:t>
      </w:r>
    </w:p>
    <w:p w:rsidR="00D536F0" w:rsidRPr="008F500D" w:rsidRDefault="00D536F0" w:rsidP="00A477E0">
      <w:pPr>
        <w:tabs>
          <w:tab w:val="left" w:pos="426"/>
        </w:tabs>
        <w:spacing w:line="360" w:lineRule="auto"/>
        <w:ind w:left="567" w:hanging="567"/>
        <w:rPr>
          <w:i/>
          <w:szCs w:val="20"/>
          <w:lang w:val="tr-TR"/>
        </w:rPr>
      </w:pPr>
      <w:r w:rsidRPr="008F500D">
        <w:rPr>
          <w:i/>
          <w:szCs w:val="20"/>
          <w:lang w:val="tr-TR"/>
        </w:rPr>
        <w:t>Fuller, B., Jr., &amp; Marler, L. E. (2009). Change driven by nature: A meta-analytic review of the proactive personality literature. Journal of Vocational Behavior, 75, 329-345.</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Fuller, J. B., Marler, L. E., &amp; Hester, K. (2012). Bridge building within the province of proactivity. </w:t>
      </w:r>
      <w:r w:rsidRPr="008F500D">
        <w:rPr>
          <w:i/>
          <w:szCs w:val="20"/>
          <w:lang w:val="tr-TR"/>
        </w:rPr>
        <w:t>Journal of Organizational Behavior, 33</w:t>
      </w:r>
      <w:r w:rsidRPr="008F500D">
        <w:rPr>
          <w:szCs w:val="20"/>
          <w:lang w:val="tr-TR"/>
        </w:rPr>
        <w:t>(8), 1053-1070.</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Galbraith, P., &amp; Stillman, G. (2006). A framework for identifying student blockages during transitions in the modelling process. </w:t>
      </w:r>
      <w:r w:rsidRPr="008F500D">
        <w:rPr>
          <w:i/>
          <w:szCs w:val="20"/>
          <w:lang w:val="tr-TR"/>
        </w:rPr>
        <w:t>Zentralblattfür Didaktik der Mathematik ZDM. 38</w:t>
      </w:r>
      <w:r w:rsidRPr="008F500D">
        <w:rPr>
          <w:szCs w:val="20"/>
          <w:lang w:val="tr-TR"/>
        </w:rPr>
        <w:t>(2), 143-162.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Garmire, E. &amp; Pearson, G. (2006). </w:t>
      </w:r>
      <w:r w:rsidRPr="008F500D">
        <w:rPr>
          <w:i/>
          <w:szCs w:val="20"/>
          <w:lang w:val="tr-TR"/>
        </w:rPr>
        <w:t>Tech tally: Approaches to assessing technological literacy</w:t>
      </w:r>
      <w:r w:rsidRPr="008F500D">
        <w:rPr>
          <w:szCs w:val="20"/>
          <w:lang w:val="tr-TR"/>
        </w:rPr>
        <w:t>. Washington, Dc: National Academies Press.</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Gay, L. R., &amp; Airasian, P. (2000). </w:t>
      </w:r>
      <w:r w:rsidRPr="008F500D">
        <w:rPr>
          <w:i/>
          <w:szCs w:val="20"/>
          <w:lang w:val="tr-TR"/>
        </w:rPr>
        <w:t>Educational research: Competencies for analysis and application</w:t>
      </w:r>
      <w:r w:rsidRPr="008F500D">
        <w:rPr>
          <w:szCs w:val="20"/>
          <w:lang w:val="tr-TR"/>
        </w:rPr>
        <w:t xml:space="preserve"> (6th Edition). Upper Saddle River, NJ: Merrill/Prentice Hall.</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George, G. &amp; Zahra, S. A. (2002). Culture and its consequences for entrepreneurship. </w:t>
      </w:r>
      <w:r w:rsidRPr="008F500D">
        <w:rPr>
          <w:i/>
          <w:szCs w:val="20"/>
          <w:lang w:val="tr-TR"/>
        </w:rPr>
        <w:t>Entrepreneurship Theory and Practice, 26</w:t>
      </w:r>
      <w:r w:rsidRPr="008F500D">
        <w:rPr>
          <w:szCs w:val="20"/>
          <w:lang w:val="tr-TR"/>
        </w:rPr>
        <w:t>(4), 5-9.</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Georgina, D. &amp; Olson, M. R. (2008). Integration of technology in higher education: A review of faculty self-perceptions. </w:t>
      </w:r>
      <w:r w:rsidRPr="008F500D">
        <w:rPr>
          <w:i/>
          <w:szCs w:val="20"/>
          <w:lang w:val="tr-TR"/>
        </w:rPr>
        <w:t>The Internet and Higher Education 11</w:t>
      </w:r>
      <w:r w:rsidRPr="008F500D">
        <w:rPr>
          <w:szCs w:val="20"/>
          <w:lang w:val="tr-TR"/>
        </w:rPr>
        <w:t>(1), 1-8.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Gonzalez, H. B. &amp; Kuenzi, J. J. (2012). </w:t>
      </w:r>
      <w:r w:rsidRPr="008F500D">
        <w:rPr>
          <w:i/>
          <w:szCs w:val="20"/>
          <w:lang w:val="tr-TR"/>
        </w:rPr>
        <w:t>Science, technology, engineering, and mathematics (STEM) education: A primer</w:t>
      </w:r>
      <w:r w:rsidRPr="008F500D">
        <w:rPr>
          <w:szCs w:val="20"/>
          <w:lang w:val="tr-TR"/>
        </w:rPr>
        <w:t>. Retrieved from https://fas.org/sgp/crs/misc/R42642.pdf.</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Graham, C. R., Burgoyne, N., Cantrell, P., Smith, L., St. Clair, L., &amp; Harris, R. (2009). TPACK development in science teaching: Measuring the TPACK confidence of inservice science teachers. </w:t>
      </w:r>
      <w:r w:rsidRPr="008F500D">
        <w:rPr>
          <w:i/>
          <w:szCs w:val="20"/>
          <w:lang w:val="tr-TR"/>
        </w:rPr>
        <w:t>TechTrends: Linking Research &amp; Practice to Improve Learning, 53</w:t>
      </w:r>
      <w:r w:rsidRPr="008F500D">
        <w:rPr>
          <w:szCs w:val="20"/>
          <w:lang w:val="tr-TR"/>
        </w:rPr>
        <w:t>(5), 70-79.</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Grant, A.M., &amp; Ashford, S., (2008). The dynamics of proactivity at work. </w:t>
      </w:r>
      <w:r w:rsidRPr="008F500D">
        <w:rPr>
          <w:i/>
          <w:szCs w:val="20"/>
          <w:lang w:val="tr-TR"/>
        </w:rPr>
        <w:t>Research in organizational Behavior, 28</w:t>
      </w:r>
      <w:r w:rsidRPr="008F500D">
        <w:rPr>
          <w:szCs w:val="20"/>
          <w:lang w:val="tr-TR"/>
        </w:rPr>
        <w:t>, 3-34.</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Habre, S. &amp; Abboud, M. (2006). Students’ conceptual understanding of a function and its derivative in an experimental calculus course, </w:t>
      </w:r>
      <w:r w:rsidRPr="008F500D">
        <w:rPr>
          <w:i/>
          <w:szCs w:val="20"/>
          <w:lang w:val="tr-TR"/>
        </w:rPr>
        <w:t>The Journal of Mathematical Behavior, 25</w:t>
      </w:r>
      <w:r w:rsidRPr="008F500D">
        <w:rPr>
          <w:szCs w:val="20"/>
          <w:lang w:val="tr-TR"/>
        </w:rPr>
        <w:t>(1), 57-72.</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Hastings, T. A. (2009). </w:t>
      </w:r>
      <w:r w:rsidRPr="008F500D">
        <w:rPr>
          <w:i/>
          <w:szCs w:val="20"/>
          <w:lang w:val="tr-TR"/>
        </w:rPr>
        <w:t>Factors that predict quality classroom technology use</w:t>
      </w:r>
      <w:r w:rsidRPr="008F500D">
        <w:rPr>
          <w:szCs w:val="20"/>
          <w:lang w:val="tr-TR"/>
        </w:rPr>
        <w:t>. Doctoral Dissertation, Graduate College of Bowling Green State University.</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Heid, M. K. (1995) The impact of technology, mathematical modeling, and meaning on the content, learning, and teaching of secondary-school algebra, </w:t>
      </w:r>
      <w:r w:rsidRPr="008F500D">
        <w:rPr>
          <w:i/>
          <w:szCs w:val="20"/>
          <w:lang w:val="tr-TR"/>
        </w:rPr>
        <w:t>The Journal of Mathematical Behavior, 14</w:t>
      </w:r>
      <w:r w:rsidRPr="008F500D">
        <w:rPr>
          <w:szCs w:val="20"/>
          <w:lang w:val="tr-TR"/>
        </w:rPr>
        <w:t>(1), 121-128.</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Hendron, M. G. (2008). </w:t>
      </w:r>
      <w:r w:rsidRPr="008F500D">
        <w:rPr>
          <w:i/>
          <w:szCs w:val="20"/>
          <w:lang w:val="tr-TR"/>
        </w:rPr>
        <w:t xml:space="preserve">Structural &amp; social integration: Help or hindrance to bottom-up </w:t>
      </w:r>
      <w:proofErr w:type="gramStart"/>
      <w:r w:rsidRPr="008F500D">
        <w:rPr>
          <w:i/>
          <w:szCs w:val="20"/>
          <w:lang w:val="tr-TR"/>
        </w:rPr>
        <w:t>innovation?</w:t>
      </w:r>
      <w:r w:rsidRPr="008F500D">
        <w:rPr>
          <w:szCs w:val="20"/>
          <w:lang w:val="tr-TR"/>
        </w:rPr>
        <w:t>.</w:t>
      </w:r>
      <w:proofErr w:type="gramEnd"/>
      <w:r w:rsidRPr="008F500D">
        <w:rPr>
          <w:szCs w:val="20"/>
          <w:lang w:val="tr-TR"/>
        </w:rPr>
        <w:t xml:space="preserve"> Retrieved from</w:t>
      </w:r>
      <w:r w:rsidR="00A477E0">
        <w:rPr>
          <w:szCs w:val="20"/>
          <w:lang w:val="tr-TR"/>
        </w:rPr>
        <w:t xml:space="preserve"> </w:t>
      </w:r>
      <w:r w:rsidRPr="008F500D">
        <w:rPr>
          <w:szCs w:val="20"/>
          <w:lang w:val="tr-TR"/>
        </w:rPr>
        <w:lastRenderedPageBreak/>
        <w:t>https://www.researchgate.net/publication/235910929_Structural_Social_Integration_Help_or_Hindrance_to_Bottom-up_Innovation.</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Herzberg, F. W. (1959). </w:t>
      </w:r>
      <w:r w:rsidRPr="008F500D">
        <w:rPr>
          <w:i/>
          <w:szCs w:val="20"/>
          <w:lang w:val="tr-TR"/>
        </w:rPr>
        <w:t>The motivation to work</w:t>
      </w:r>
      <w:r w:rsidRPr="008F500D">
        <w:rPr>
          <w:szCs w:val="20"/>
          <w:lang w:val="tr-TR"/>
        </w:rPr>
        <w:t>. New York: John Willey.</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Hıdıroğlu, Ç. N., &amp; Özkan Hıdıroğlu, Y. (2016). Modelleme yaklaşımlarına bütüncül bir bakış ve yeni bir öğrenme modeli önerisi: HTTM modeli ve kuramsal temeli. In Ö. Demirel &amp; S. Dinçer (Eds), </w:t>
      </w:r>
      <w:r w:rsidRPr="008F500D">
        <w:rPr>
          <w:i/>
          <w:szCs w:val="20"/>
          <w:lang w:val="tr-TR"/>
        </w:rPr>
        <w:t>Eğitim Bilimlerinde Yenilik ve Nitelik Arayışı</w:t>
      </w:r>
      <w:r w:rsidRPr="008F500D">
        <w:rPr>
          <w:szCs w:val="20"/>
          <w:lang w:val="tr-TR"/>
        </w:rPr>
        <w:t>, (pp. 1109-1142). Ankara: Pegem Akademi.</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Hıdıroğlu, Ç. N., &amp; Bukova Guzel, E. (2017). The conceptualization of the mathematical modelling process in technology-aided environment. </w:t>
      </w:r>
      <w:r w:rsidRPr="008F500D">
        <w:rPr>
          <w:i/>
          <w:szCs w:val="20"/>
          <w:lang w:val="tr-TR"/>
        </w:rPr>
        <w:t>The International Journal for Technology in Mathematics Education, 24</w:t>
      </w:r>
      <w:r w:rsidRPr="008F500D">
        <w:rPr>
          <w:szCs w:val="20"/>
          <w:lang w:val="tr-TR"/>
        </w:rPr>
        <w:t>(1), 17-36.</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Hıdıroğlu, Ç. N., &amp; Bukova Güzel, E. (2014). Using GeoGebra in mathematical modeling: The Height-Foot Length Problem. </w:t>
      </w:r>
      <w:r w:rsidRPr="008F500D">
        <w:rPr>
          <w:i/>
          <w:szCs w:val="20"/>
          <w:lang w:val="tr-TR"/>
        </w:rPr>
        <w:t>Pamukkale University, Journal of Education, 36</w:t>
      </w:r>
      <w:r w:rsidRPr="008F500D">
        <w:rPr>
          <w:szCs w:val="20"/>
          <w:lang w:val="tr-TR"/>
        </w:rPr>
        <w:t>(2), 29-44.</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Hohenwarter, M., Hohenwarter, J., Kreis, Y., &amp; Lavicza, Z. (2008). </w:t>
      </w:r>
      <w:r w:rsidRPr="008F500D">
        <w:rPr>
          <w:i/>
          <w:szCs w:val="20"/>
          <w:lang w:val="tr-TR"/>
        </w:rPr>
        <w:t>Teaching and learning calculus with free dynamic mathematics software GeoGebra</w:t>
      </w:r>
      <w:r w:rsidRPr="008F500D">
        <w:rPr>
          <w:szCs w:val="20"/>
          <w:lang w:val="tr-TR"/>
        </w:rPr>
        <w:t>. Retrieved from https://archive.geogebra.org/static/publications/2008-ICME-TSG16-Calculus-GeoGebra-Paper.pdf.</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Hom, E. J. (2014). </w:t>
      </w:r>
      <w:r w:rsidRPr="008F500D">
        <w:rPr>
          <w:i/>
          <w:szCs w:val="20"/>
          <w:lang w:val="tr-TR"/>
        </w:rPr>
        <w:t>What is STEM education</w:t>
      </w:r>
      <w:r w:rsidRPr="008F500D">
        <w:rPr>
          <w:szCs w:val="20"/>
          <w:lang w:val="tr-TR"/>
        </w:rPr>
        <w:t>. Retrieved from https://www.livescience.com/43296-what-is-stem-education.html.</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Hotaman, D. (2010). The teaching profession: knowledge of subject matter, teaching skills and personality traits. </w:t>
      </w:r>
      <w:r w:rsidRPr="008F500D">
        <w:rPr>
          <w:i/>
          <w:iCs/>
          <w:szCs w:val="20"/>
          <w:lang w:val="tr-TR"/>
        </w:rPr>
        <w:t>Procedia-Social and Behavioral Sciences</w:t>
      </w:r>
      <w:r w:rsidRPr="008F500D">
        <w:rPr>
          <w:szCs w:val="20"/>
          <w:lang w:val="tr-TR"/>
        </w:rPr>
        <w:t xml:space="preserve">, </w:t>
      </w:r>
      <w:r w:rsidRPr="008F500D">
        <w:rPr>
          <w:i/>
          <w:szCs w:val="20"/>
          <w:lang w:val="tr-TR"/>
        </w:rPr>
        <w:t>2</w:t>
      </w:r>
      <w:r w:rsidRPr="008F500D">
        <w:rPr>
          <w:szCs w:val="20"/>
          <w:lang w:val="tr-TR"/>
        </w:rPr>
        <w:t>(2), 1416-1420.</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Ingerman, A., &amp; Reed, B. C. (2010). Technological literacy reconsidered: a model for enactment. </w:t>
      </w:r>
      <w:r w:rsidRPr="008F500D">
        <w:rPr>
          <w:i/>
          <w:iCs/>
          <w:szCs w:val="20"/>
          <w:lang w:val="tr-TR"/>
        </w:rPr>
        <w:t>International Journal of Technology and Design Education</w:t>
      </w:r>
      <w:r w:rsidRPr="008F500D">
        <w:rPr>
          <w:i/>
          <w:szCs w:val="20"/>
          <w:lang w:val="tr-TR"/>
        </w:rPr>
        <w:t>, 21</w:t>
      </w:r>
      <w:r w:rsidRPr="008F500D">
        <w:rPr>
          <w:szCs w:val="20"/>
          <w:lang w:val="tr-TR"/>
        </w:rPr>
        <w:t xml:space="preserve">(2), 137-148.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Instefjord, E. J., &amp; Munthe, E. (2017). Educating digitally competent teachers: A study of integration of professional digital competence in teacher education. </w:t>
      </w:r>
      <w:r w:rsidRPr="008F500D">
        <w:rPr>
          <w:i/>
          <w:szCs w:val="20"/>
          <w:lang w:val="tr-TR"/>
        </w:rPr>
        <w:t>Teaching and Teacher Education, 67</w:t>
      </w:r>
      <w:r w:rsidRPr="008F500D">
        <w:rPr>
          <w:szCs w:val="20"/>
          <w:lang w:val="tr-TR"/>
        </w:rPr>
        <w:t xml:space="preserve">, 37-45.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International ICT Literacy Panel (2002). </w:t>
      </w:r>
      <w:r w:rsidRPr="008F500D">
        <w:rPr>
          <w:i/>
          <w:szCs w:val="20"/>
          <w:lang w:val="tr-TR"/>
        </w:rPr>
        <w:t>Digital transformation: A framework for ICT literacy</w:t>
      </w:r>
      <w:r w:rsidRPr="008F500D">
        <w:rPr>
          <w:szCs w:val="20"/>
          <w:lang w:val="tr-TR"/>
        </w:rPr>
        <w:t>. Educational Testing Service, Retrieved from https://www.ets.org/Media/Research/pdf/ICTREPORT.pdf.</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International Technology Education Association [ITEA] (2000). </w:t>
      </w:r>
      <w:r w:rsidRPr="008F500D">
        <w:rPr>
          <w:i/>
          <w:szCs w:val="20"/>
          <w:lang w:val="tr-TR"/>
        </w:rPr>
        <w:t>Standards for technological literac</w:t>
      </w:r>
      <w:r w:rsidRPr="008F500D">
        <w:rPr>
          <w:szCs w:val="20"/>
          <w:lang w:val="tr-TR"/>
        </w:rPr>
        <w:t>y. Reston, VA: Author.</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Jen, T. H., Yeh, Y. F., Hsu, Y. S., Wu, H. K., &amp; Chen, K. M. (2016). Science teachers' TPACK-Practical: Standard-setting using an evidence-based approach. </w:t>
      </w:r>
      <w:r w:rsidRPr="008F500D">
        <w:rPr>
          <w:i/>
          <w:iCs/>
          <w:szCs w:val="20"/>
          <w:lang w:val="tr-TR"/>
        </w:rPr>
        <w:t>Computers &amp; Education</w:t>
      </w:r>
      <w:r w:rsidRPr="008F500D">
        <w:rPr>
          <w:szCs w:val="20"/>
          <w:lang w:val="tr-TR"/>
        </w:rPr>
        <w:t>,</w:t>
      </w:r>
      <w:r w:rsidRPr="008F500D">
        <w:rPr>
          <w:i/>
          <w:szCs w:val="20"/>
          <w:lang w:val="tr-TR"/>
        </w:rPr>
        <w:t xml:space="preserve"> 95</w:t>
      </w:r>
      <w:r w:rsidRPr="008F500D">
        <w:rPr>
          <w:szCs w:val="20"/>
          <w:lang w:val="tr-TR"/>
        </w:rPr>
        <w:t>, 45-62.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Kalaycı, Ş. (2016). </w:t>
      </w:r>
      <w:r w:rsidRPr="008F500D">
        <w:rPr>
          <w:i/>
          <w:szCs w:val="20"/>
          <w:lang w:val="tr-TR"/>
        </w:rPr>
        <w:t>SPSS uygulamalı çok değişkenli istatistik teknikleri</w:t>
      </w:r>
      <w:r w:rsidRPr="008F500D">
        <w:rPr>
          <w:szCs w:val="20"/>
          <w:lang w:val="tr-TR"/>
        </w:rPr>
        <w:t>. Ankara: Asil Yayın Dağıtım.</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Karaarslan, E., Boz, B., &amp; Yıldırım, K. (2013). Matematik ve geometri eğitiminde teknoloji tabanlı yaklaşımlar. Paper presented at </w:t>
      </w:r>
      <w:r w:rsidRPr="008F500D">
        <w:rPr>
          <w:i/>
          <w:szCs w:val="20"/>
          <w:lang w:val="tr-TR"/>
        </w:rPr>
        <w:t>XVIII. Türkiye'de İnternet Konferansı</w:t>
      </w:r>
      <w:r w:rsidRPr="008F500D">
        <w:rPr>
          <w:szCs w:val="20"/>
          <w:lang w:val="tr-TR"/>
        </w:rPr>
        <w:t>, Istanbul, Turkey.</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Karasar, N. (2009). </w:t>
      </w:r>
      <w:r w:rsidRPr="008F500D">
        <w:rPr>
          <w:i/>
          <w:szCs w:val="20"/>
          <w:lang w:val="tr-TR"/>
        </w:rPr>
        <w:t>Bilimsel araştırma yöntemi</w:t>
      </w:r>
      <w:r w:rsidRPr="008F500D">
        <w:rPr>
          <w:szCs w:val="20"/>
          <w:lang w:val="tr-TR"/>
        </w:rPr>
        <w:t xml:space="preserve"> (19th edition). Nobel Yayın Dağıtım: Ankara.</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Kelani, R. R. E. D. (2009). </w:t>
      </w:r>
      <w:r w:rsidRPr="008F500D">
        <w:rPr>
          <w:i/>
          <w:szCs w:val="20"/>
          <w:lang w:val="tr-TR"/>
        </w:rPr>
        <w:t>A professional development study of technology education in secondary science teaching Benin: Issues of teacher change and self-efficacy beliefs</w:t>
      </w:r>
      <w:r w:rsidRPr="008F500D">
        <w:rPr>
          <w:szCs w:val="20"/>
          <w:lang w:val="tr-TR"/>
        </w:rPr>
        <w:t>. Unpublished Doctoral Thesis, Kent State University College, Ohio, United States.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Kidron, I., &amp; Tall, D. O. (2015). The roles of visualization and symbolism in the potential and actual infinity of the limit process. </w:t>
      </w:r>
      <w:r w:rsidRPr="008F500D">
        <w:rPr>
          <w:i/>
          <w:szCs w:val="20"/>
          <w:lang w:val="tr-TR"/>
        </w:rPr>
        <w:t>Educational Studies in Mathematics, 88</w:t>
      </w:r>
      <w:r w:rsidRPr="008F500D">
        <w:rPr>
          <w:szCs w:val="20"/>
          <w:lang w:val="tr-TR"/>
        </w:rPr>
        <w:t>(2), 183-199.</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Kim, C., Kim, M. K., Lee, C., Spector, J. M., &amp; DeMeester, K. (2013). Teacher beliefs and technology integration. </w:t>
      </w:r>
      <w:r w:rsidRPr="008F500D">
        <w:rPr>
          <w:i/>
          <w:iCs/>
          <w:szCs w:val="20"/>
          <w:lang w:val="tr-TR"/>
        </w:rPr>
        <w:t>Teaching and Teacher Education</w:t>
      </w:r>
      <w:r w:rsidRPr="008F500D">
        <w:rPr>
          <w:szCs w:val="20"/>
          <w:lang w:val="tr-TR"/>
        </w:rPr>
        <w:t>,</w:t>
      </w:r>
      <w:r w:rsidRPr="008F500D">
        <w:rPr>
          <w:i/>
          <w:szCs w:val="20"/>
          <w:lang w:val="tr-TR"/>
        </w:rPr>
        <w:t xml:space="preserve"> 29</w:t>
      </w:r>
      <w:r w:rsidRPr="008F500D">
        <w:rPr>
          <w:szCs w:val="20"/>
          <w:lang w:val="tr-TR"/>
        </w:rPr>
        <w:t>, 76-85.</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Kirby, E. G., Kirby, S. L. &amp; Lewis, M. A. (2002). A Study of the effectiveness of training proactive thinking. </w:t>
      </w:r>
      <w:r w:rsidRPr="008F500D">
        <w:rPr>
          <w:i/>
          <w:iCs/>
          <w:szCs w:val="20"/>
          <w:lang w:val="tr-TR"/>
        </w:rPr>
        <w:lastRenderedPageBreak/>
        <w:t>Journal of Applied Social Psychology</w:t>
      </w:r>
      <w:r w:rsidRPr="008F500D">
        <w:rPr>
          <w:szCs w:val="20"/>
          <w:lang w:val="tr-TR"/>
        </w:rPr>
        <w:t>,</w:t>
      </w:r>
      <w:r w:rsidRPr="008F500D">
        <w:rPr>
          <w:i/>
          <w:szCs w:val="20"/>
          <w:lang w:val="tr-TR"/>
        </w:rPr>
        <w:t xml:space="preserve"> 32</w:t>
      </w:r>
      <w:r w:rsidRPr="008F500D">
        <w:rPr>
          <w:szCs w:val="20"/>
          <w:lang w:val="tr-TR"/>
        </w:rPr>
        <w:t xml:space="preserve">, 1538-1549. </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Koehler, M. J., &amp; Mishra, P. (2008). Introducing TPCK. In AACTE Committee on Innovation and Technology. (Ed.), </w:t>
      </w:r>
      <w:r w:rsidRPr="008F500D">
        <w:rPr>
          <w:i/>
          <w:szCs w:val="20"/>
          <w:lang w:val="tr-TR"/>
        </w:rPr>
        <w:t>Handbook of Technological Pedagogical Content Knowledge (TPCK)</w:t>
      </w:r>
      <w:r w:rsidRPr="008F500D">
        <w:rPr>
          <w:szCs w:val="20"/>
          <w:lang w:val="tr-TR"/>
        </w:rPr>
        <w:t xml:space="preserve"> (pp, 3-29). New York: Routledge.</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Konaklıoğlu, E., &amp; Kızanlıklı, M. M. (2011). Üniversite öğrencilerinin proaktif kişilik özellikleri ile girişimcilik eğilimleri arasındaki ilişki. </w:t>
      </w:r>
      <w:r w:rsidRPr="008F500D">
        <w:rPr>
          <w:i/>
          <w:iCs/>
          <w:szCs w:val="20"/>
          <w:lang w:val="tr-TR"/>
        </w:rPr>
        <w:t>Ticaret ve Turizm Eğitim Fakültesi Dergisi</w:t>
      </w:r>
      <w:r w:rsidRPr="008F500D">
        <w:rPr>
          <w:szCs w:val="20"/>
          <w:lang w:val="tr-TR"/>
        </w:rPr>
        <w:t xml:space="preserve">, </w:t>
      </w:r>
      <w:r w:rsidRPr="008F500D">
        <w:rPr>
          <w:i/>
          <w:szCs w:val="20"/>
          <w:lang w:val="tr-TR"/>
        </w:rPr>
        <w:t>1</w:t>
      </w:r>
      <w:r w:rsidRPr="008F500D">
        <w:rPr>
          <w:szCs w:val="20"/>
          <w:lang w:val="tr-TR"/>
        </w:rPr>
        <w:t>(2), 72-92.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Lawless, K. A., &amp; Pellegrino, J. W. (2007). Professional development in integrating technology into teaching and learning: Knowns, unknowns, and ways to pursue better questions and answers. </w:t>
      </w:r>
      <w:r w:rsidRPr="008F500D">
        <w:rPr>
          <w:i/>
          <w:szCs w:val="20"/>
          <w:lang w:val="tr-TR"/>
        </w:rPr>
        <w:t>Review of Educational Research, 77</w:t>
      </w:r>
      <w:r w:rsidRPr="008F500D">
        <w:rPr>
          <w:szCs w:val="20"/>
          <w:lang w:val="tr-TR"/>
        </w:rPr>
        <w:t xml:space="preserve">(4), 575-614. </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Leatham, K. R. (2007). Pre-service secondary mathematics teachers’ beliefs about the nature of the technology in the classroom. </w:t>
      </w:r>
      <w:r w:rsidRPr="008F500D">
        <w:rPr>
          <w:i/>
          <w:szCs w:val="20"/>
          <w:lang w:val="tr-TR"/>
        </w:rPr>
        <w:t>Canadian Journal of Science, Mathematics and Technology Education, 7</w:t>
      </w:r>
      <w:r w:rsidRPr="008F500D">
        <w:rPr>
          <w:szCs w:val="20"/>
          <w:lang w:val="tr-TR"/>
        </w:rPr>
        <w:t>(2-3), 183-207.</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Lee, J. C. K. (2000). Teacher receptivity to curriculum change in the implementation stage: The case of environmental education in Hong Kong. </w:t>
      </w:r>
      <w:r w:rsidRPr="008F500D">
        <w:rPr>
          <w:i/>
          <w:szCs w:val="20"/>
          <w:lang w:val="tr-TR"/>
        </w:rPr>
        <w:t xml:space="preserve">Journal of Curriculum Studies, </w:t>
      </w:r>
      <w:r w:rsidRPr="008F500D">
        <w:rPr>
          <w:szCs w:val="20"/>
          <w:lang w:val="tr-TR"/>
        </w:rPr>
        <w:t>32(1), 95-115.</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Lee, O. (2004). Teacher change in beliefs and practices in science and literacy instruction with English language learners. </w:t>
      </w:r>
      <w:r w:rsidRPr="008F500D">
        <w:rPr>
          <w:i/>
          <w:szCs w:val="20"/>
          <w:lang w:val="tr-TR"/>
        </w:rPr>
        <w:t>Journal of Research Science Teaching, 41</w:t>
      </w:r>
      <w:r w:rsidRPr="008F500D">
        <w:rPr>
          <w:szCs w:val="20"/>
          <w:lang w:val="tr-TR"/>
        </w:rPr>
        <w:t xml:space="preserve">, 65-93.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Li, M., Liu, Y., Liu, L., &amp; Wang, Z. (2017). Proactive personality and innovative work behavior: The mediating effects of affective states and creative self-efficacy in teachers. </w:t>
      </w:r>
      <w:r w:rsidRPr="008F500D">
        <w:rPr>
          <w:i/>
          <w:iCs/>
          <w:szCs w:val="20"/>
          <w:lang w:val="tr-TR"/>
        </w:rPr>
        <w:t>Current Psychology</w:t>
      </w:r>
      <w:r w:rsidRPr="008F500D">
        <w:rPr>
          <w:szCs w:val="20"/>
          <w:lang w:val="tr-TR"/>
        </w:rPr>
        <w:t xml:space="preserve">, </w:t>
      </w:r>
      <w:r w:rsidRPr="008F500D">
        <w:rPr>
          <w:i/>
          <w:szCs w:val="20"/>
          <w:lang w:val="tr-TR"/>
        </w:rPr>
        <w:t>36</w:t>
      </w:r>
      <w:r w:rsidRPr="008F500D">
        <w:rPr>
          <w:szCs w:val="20"/>
          <w:lang w:val="tr-TR"/>
        </w:rPr>
        <w:t>(4), 697-706.</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Li, Q. (2007). Student and teacher views about technology: A tale of two cities? Journal </w:t>
      </w:r>
      <w:r w:rsidRPr="008F500D">
        <w:rPr>
          <w:i/>
          <w:iCs/>
          <w:szCs w:val="20"/>
          <w:lang w:val="tr-TR"/>
        </w:rPr>
        <w:t>of Research on Technology in Education</w:t>
      </w:r>
      <w:r w:rsidRPr="008F500D">
        <w:rPr>
          <w:szCs w:val="20"/>
          <w:lang w:val="tr-TR"/>
        </w:rPr>
        <w:t>,</w:t>
      </w:r>
      <w:r w:rsidRPr="008F500D">
        <w:rPr>
          <w:i/>
          <w:szCs w:val="20"/>
          <w:lang w:val="tr-TR"/>
        </w:rPr>
        <w:t xml:space="preserve"> 39</w:t>
      </w:r>
      <w:r w:rsidRPr="008F500D">
        <w:rPr>
          <w:szCs w:val="20"/>
          <w:lang w:val="tr-TR"/>
        </w:rPr>
        <w:t>(4), 377-397.</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Lingefjärd, T. (2000). </w:t>
      </w:r>
      <w:r w:rsidRPr="008F500D">
        <w:rPr>
          <w:i/>
          <w:szCs w:val="20"/>
          <w:lang w:val="tr-TR"/>
        </w:rPr>
        <w:t>Mathematical modeling by prospective teachers using technology</w:t>
      </w:r>
      <w:r w:rsidRPr="008F500D">
        <w:rPr>
          <w:szCs w:val="20"/>
          <w:lang w:val="tr-TR"/>
        </w:rPr>
        <w:t>. Yayınlanmamış doktora tezi, University of Georgia, ABD. Retrieved from http://maserv.did.gu.se/matematik/thomas.htm.</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Miaoulis, I. (2009). </w:t>
      </w:r>
      <w:r w:rsidRPr="008F500D">
        <w:rPr>
          <w:i/>
          <w:szCs w:val="20"/>
          <w:lang w:val="tr-TR"/>
        </w:rPr>
        <w:t>Engineering the K-12 curriculum for technological innovation</w:t>
      </w:r>
      <w:r w:rsidRPr="008F500D">
        <w:rPr>
          <w:szCs w:val="20"/>
          <w:lang w:val="tr-TR"/>
        </w:rPr>
        <w:t>. Retrieved from http://legacy.mos.org/nctl/docs/MOS_NCTL_White_ Paper.pdf.</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Miller, D. (1983). The correlates of entrepreneurship in three types of firms. </w:t>
      </w:r>
      <w:r w:rsidRPr="008F500D">
        <w:rPr>
          <w:i/>
          <w:szCs w:val="20"/>
          <w:lang w:val="tr-TR"/>
        </w:rPr>
        <w:t>Management Science, 29</w:t>
      </w:r>
      <w:r w:rsidRPr="008F500D">
        <w:rPr>
          <w:szCs w:val="20"/>
          <w:lang w:val="tr-TR"/>
        </w:rPr>
        <w:t>, 770- 791.</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Mishra, P., &amp; Koehler, M. J. (2006). Technological pedagogical content knowledge: A new framework for teacher knowledge. </w:t>
      </w:r>
      <w:r w:rsidRPr="008F500D">
        <w:rPr>
          <w:i/>
          <w:szCs w:val="20"/>
          <w:lang w:val="tr-TR"/>
        </w:rPr>
        <w:t>Teachers College Record, 108</w:t>
      </w:r>
      <w:r w:rsidRPr="008F500D">
        <w:rPr>
          <w:szCs w:val="20"/>
          <w:lang w:val="tr-TR"/>
        </w:rPr>
        <w:t>(6), 1017–1054.</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Mishra, P., &amp; Koehler, M. J. (2006). Technological pedagogical content knowledge: A framework for teacher knowledge. </w:t>
      </w:r>
      <w:r w:rsidRPr="008F500D">
        <w:rPr>
          <w:i/>
          <w:szCs w:val="20"/>
          <w:lang w:val="tr-TR"/>
        </w:rPr>
        <w:t>Teachers College Record, 108</w:t>
      </w:r>
      <w:r w:rsidRPr="008F500D">
        <w:rPr>
          <w:szCs w:val="20"/>
          <w:lang w:val="tr-TR"/>
        </w:rPr>
        <w:t>(6), 1017–1054.</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Molebash, P. (2004). Preservice teacher perceptions of a technology-enriched methods course. </w:t>
      </w:r>
      <w:r w:rsidRPr="008F500D">
        <w:rPr>
          <w:i/>
          <w:szCs w:val="20"/>
          <w:lang w:val="tr-TR"/>
        </w:rPr>
        <w:t>Contemporary Issues in Technology and Teacher Education, 3</w:t>
      </w:r>
      <w:r w:rsidRPr="008F500D">
        <w:rPr>
          <w:szCs w:val="20"/>
          <w:lang w:val="tr-TR"/>
        </w:rPr>
        <w:t>(4), 412–432.</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Moran, M. J. (2002). Implications for the study and development of inquiry among early childhood preservice teachers: A report from one study. </w:t>
      </w:r>
      <w:r w:rsidRPr="008F500D">
        <w:rPr>
          <w:i/>
          <w:szCs w:val="20"/>
          <w:lang w:val="tr-TR"/>
        </w:rPr>
        <w:t>Journal of Early Childhood Teacher Education, 23</w:t>
      </w:r>
      <w:r w:rsidRPr="008F500D">
        <w:rPr>
          <w:szCs w:val="20"/>
          <w:lang w:val="tr-TR"/>
        </w:rPr>
        <w:t>, 39-44.</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Morrison, E. W. (1993). Newcomer information seeking: Exploring types, modes, sources and outcomes. </w:t>
      </w:r>
      <w:r w:rsidRPr="008F500D">
        <w:rPr>
          <w:i/>
          <w:iCs/>
          <w:szCs w:val="20"/>
          <w:lang w:val="tr-TR"/>
        </w:rPr>
        <w:t>Academy of Management Journal</w:t>
      </w:r>
      <w:r w:rsidRPr="008F500D">
        <w:rPr>
          <w:szCs w:val="20"/>
          <w:lang w:val="tr-TR"/>
        </w:rPr>
        <w:t>,</w:t>
      </w:r>
      <w:r w:rsidRPr="008F500D">
        <w:rPr>
          <w:i/>
          <w:szCs w:val="20"/>
          <w:lang w:val="tr-TR"/>
        </w:rPr>
        <w:t xml:space="preserve"> 36</w:t>
      </w:r>
      <w:r w:rsidRPr="008F500D">
        <w:rPr>
          <w:szCs w:val="20"/>
          <w:lang w:val="tr-TR"/>
        </w:rPr>
        <w:t>, 557–589.</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National Research Council (1996). </w:t>
      </w:r>
      <w:r w:rsidRPr="008F500D">
        <w:rPr>
          <w:i/>
          <w:szCs w:val="20"/>
          <w:lang w:val="tr-TR"/>
        </w:rPr>
        <w:t>National science education standards</w:t>
      </w:r>
      <w:r w:rsidRPr="008F500D">
        <w:rPr>
          <w:szCs w:val="20"/>
          <w:lang w:val="tr-TR"/>
        </w:rPr>
        <w:t>. Washington, DC: The National Academies Press.</w:t>
      </w:r>
    </w:p>
    <w:p w:rsidR="00854A62" w:rsidRDefault="00854A62" w:rsidP="00854A62">
      <w:pPr>
        <w:widowControl w:val="0"/>
        <w:suppressAutoHyphens w:val="0"/>
        <w:spacing w:line="360" w:lineRule="auto"/>
        <w:ind w:left="567" w:hanging="567"/>
      </w:pPr>
      <w:r>
        <w:t xml:space="preserve">Norton-Meier, L.A., Hand, B., &amp; Ardasheva, Y. (2013). Examining teacher actions supportive of cross-disciplinary science and literacy development among elementary students. </w:t>
      </w:r>
      <w:r w:rsidRPr="0065360F">
        <w:rPr>
          <w:i/>
        </w:rPr>
        <w:t>International Journal of Education in Mathematics, Science and Technology, 1</w:t>
      </w:r>
      <w:r>
        <w:t>(1), 43-55.</w:t>
      </w:r>
    </w:p>
    <w:p w:rsidR="00D536F0" w:rsidRPr="008F500D" w:rsidRDefault="00D536F0" w:rsidP="00A477E0">
      <w:pPr>
        <w:tabs>
          <w:tab w:val="left" w:pos="426"/>
        </w:tabs>
        <w:spacing w:line="360" w:lineRule="auto"/>
        <w:ind w:left="567" w:hanging="567"/>
        <w:rPr>
          <w:szCs w:val="20"/>
          <w:lang w:val="tr-TR"/>
        </w:rPr>
      </w:pPr>
      <w:bookmarkStart w:id="2" w:name="_GoBack"/>
      <w:bookmarkEnd w:id="2"/>
      <w:r w:rsidRPr="008F500D">
        <w:rPr>
          <w:szCs w:val="20"/>
          <w:lang w:val="en"/>
        </w:rPr>
        <w:lastRenderedPageBreak/>
        <w:t>Organisation for Economic Cooperation and Development [OECD]</w:t>
      </w:r>
      <w:r w:rsidRPr="008F500D">
        <w:rPr>
          <w:szCs w:val="20"/>
          <w:lang w:val="tr-TR"/>
        </w:rPr>
        <w:t xml:space="preserve"> (2006). </w:t>
      </w:r>
      <w:r w:rsidRPr="008F500D">
        <w:rPr>
          <w:i/>
          <w:szCs w:val="20"/>
          <w:lang w:val="tr-TR"/>
        </w:rPr>
        <w:t>Demand-sensitive schooling. Evidence and issues</w:t>
      </w:r>
      <w:r w:rsidRPr="008F500D">
        <w:rPr>
          <w:szCs w:val="20"/>
          <w:lang w:val="tr-TR"/>
        </w:rPr>
        <w:t>. Paris: Organisation for Econo- mic Cooperation and Development (OECD).</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Pajares, F. (2002) </w:t>
      </w:r>
      <w:r w:rsidRPr="008F500D">
        <w:rPr>
          <w:i/>
          <w:szCs w:val="20"/>
          <w:lang w:val="tr-TR"/>
        </w:rPr>
        <w:t>Overview of social cognitive theory and of self-efficacy</w:t>
      </w:r>
      <w:r w:rsidRPr="008F500D">
        <w:rPr>
          <w:szCs w:val="20"/>
          <w:lang w:val="tr-TR"/>
        </w:rPr>
        <w:t>. Retrieved from https://www.uky.edu/~eushe2/Pajares/eff.html.</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Parker, S. K., Bindl, U. K., &amp; Strauss, K. (2010). Making things happen: A model of proactive motivation. </w:t>
      </w:r>
      <w:r w:rsidRPr="008F500D">
        <w:rPr>
          <w:i/>
          <w:iCs/>
          <w:szCs w:val="20"/>
          <w:lang w:val="tr-TR"/>
        </w:rPr>
        <w:t>Journal of Management</w:t>
      </w:r>
      <w:r w:rsidRPr="008F500D">
        <w:rPr>
          <w:i/>
          <w:szCs w:val="20"/>
          <w:lang w:val="tr-TR"/>
        </w:rPr>
        <w:t>, 36</w:t>
      </w:r>
      <w:r w:rsidRPr="008F500D">
        <w:rPr>
          <w:szCs w:val="20"/>
          <w:lang w:val="tr-TR"/>
        </w:rPr>
        <w:t>, 827–856.</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Parker, S.K., Williams, H.M., &amp; Turner, N. (2006). Modeling the antecedents of proactive behavior at work. </w:t>
      </w:r>
      <w:r w:rsidRPr="008F500D">
        <w:rPr>
          <w:i/>
          <w:iCs/>
          <w:szCs w:val="20"/>
          <w:lang w:val="tr-TR"/>
        </w:rPr>
        <w:t>Journal of Applied Psychology</w:t>
      </w:r>
      <w:r w:rsidRPr="008F500D">
        <w:rPr>
          <w:szCs w:val="20"/>
          <w:lang w:val="tr-TR"/>
        </w:rPr>
        <w:t>,</w:t>
      </w:r>
      <w:r w:rsidRPr="008F500D">
        <w:rPr>
          <w:i/>
          <w:szCs w:val="20"/>
          <w:lang w:val="tr-TR"/>
        </w:rPr>
        <w:t xml:space="preserve"> 91</w:t>
      </w:r>
      <w:r w:rsidRPr="008F500D">
        <w:rPr>
          <w:szCs w:val="20"/>
          <w:lang w:val="tr-TR"/>
        </w:rPr>
        <w:t>(3), 636-652.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Polly, D., &amp; Orrill, C.H. (2012). </w:t>
      </w:r>
      <w:r w:rsidRPr="008F500D">
        <w:rPr>
          <w:i/>
          <w:szCs w:val="20"/>
          <w:lang w:val="tr-TR"/>
        </w:rPr>
        <w:t>Developing technological pedagogical and content knowledge (TPACK) through professional development focused on technology-rich mathematics tasks</w:t>
      </w:r>
      <w:r w:rsidRPr="008F500D">
        <w:rPr>
          <w:szCs w:val="20"/>
          <w:lang w:val="tr-TR"/>
        </w:rPr>
        <w:t>. Retrieved from https://www.researchgate.net/publication/280134624_Developing_technological_pedagogical_and_content_knowledge_TPACK_through_professional_development_focused_on_technology-rich_mathematics_tasks.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Prevenzo, E. F., Brett, A., &amp; McCloskey, G. N. (1999). Computers, curriculum, and cultural change: An introduction for teachers. London: Lawrence Erlbaum Associates, Publishers.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Rasmussen, C. &amp; Marrongella, K. (2006). Pedagogical content tools: Integrating student reasoning and mathematics in instruction. </w:t>
      </w:r>
      <w:r w:rsidRPr="008F500D">
        <w:rPr>
          <w:i/>
          <w:szCs w:val="20"/>
          <w:lang w:val="tr-TR"/>
        </w:rPr>
        <w:t>Journal for Research in Mathematics Education, 37</w:t>
      </w:r>
      <w:r w:rsidRPr="008F500D">
        <w:rPr>
          <w:szCs w:val="20"/>
          <w:lang w:val="tr-TR"/>
        </w:rPr>
        <w:t>(5), 388-423.</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Roberts, A. &amp; Cantu, D. (2012, June). Applying STEM instructional strategies to design and technology curriculum. In </w:t>
      </w:r>
      <w:r w:rsidRPr="008F500D">
        <w:rPr>
          <w:i/>
          <w:szCs w:val="20"/>
          <w:lang w:val="tr-TR"/>
        </w:rPr>
        <w:t>PATT 26 Conference; Technology Education in the 21st Century</w:t>
      </w:r>
      <w:r w:rsidRPr="008F500D">
        <w:rPr>
          <w:szCs w:val="20"/>
          <w:lang w:val="tr-TR"/>
        </w:rPr>
        <w:t>. Stockholm; Sweden (pp. 111-118). Linköping University Electronic Press.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Rowan, B. (2002). Teachers’ work and instructional management, part I: Alternative views of the task of teaching. In W. K. Hoy and C. G. Miskel (Eds), </w:t>
      </w:r>
      <w:r w:rsidRPr="008F500D">
        <w:rPr>
          <w:i/>
          <w:szCs w:val="20"/>
          <w:lang w:val="tr-TR"/>
        </w:rPr>
        <w:t>Theory and research in educational administration</w:t>
      </w:r>
      <w:r w:rsidRPr="008F500D">
        <w:rPr>
          <w:szCs w:val="20"/>
          <w:lang w:val="tr-TR"/>
        </w:rPr>
        <w:t>, Volume 1, (pp.129-149). Greenwich, CT: Information Age Publishing, 2002.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Sang, G., Valcke, M., van Braak, J., &amp; Tondeur, J. (2010). Student teachers’ thinking processes and ICT integration: Predictors of prospective teaching behaviors with educational technology. </w:t>
      </w:r>
      <w:r w:rsidRPr="008F500D">
        <w:rPr>
          <w:i/>
          <w:szCs w:val="20"/>
          <w:lang w:val="tr-TR"/>
        </w:rPr>
        <w:t>Computers &amp; Education, 54</w:t>
      </w:r>
      <w:r w:rsidRPr="008F500D">
        <w:rPr>
          <w:szCs w:val="20"/>
          <w:lang w:val="tr-TR"/>
        </w:rPr>
        <w:t xml:space="preserve">(1), 103-112.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Schwarzer, R. (1999, July). </w:t>
      </w:r>
      <w:r w:rsidRPr="008F500D">
        <w:rPr>
          <w:i/>
          <w:szCs w:val="20"/>
          <w:lang w:val="tr-TR"/>
        </w:rPr>
        <w:t>Proactive coping theory</w:t>
      </w:r>
      <w:r w:rsidRPr="008F500D">
        <w:rPr>
          <w:szCs w:val="20"/>
          <w:lang w:val="tr-TR"/>
        </w:rPr>
        <w:t xml:space="preserve">. Paper presented at the 20th International Conference of The Stress and Anxiety Research Society (STAR), Cracow, Poland.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Schwarzer, R. (1999, July). </w:t>
      </w:r>
      <w:r w:rsidRPr="008F500D">
        <w:rPr>
          <w:i/>
          <w:szCs w:val="20"/>
          <w:lang w:val="tr-TR"/>
        </w:rPr>
        <w:t>The proactive coping ınventory a multidimensional research instrument</w:t>
      </w:r>
      <w:r w:rsidRPr="008F500D">
        <w:rPr>
          <w:szCs w:val="20"/>
          <w:lang w:val="tr-TR"/>
        </w:rPr>
        <w:t>. Paper presented at the 20th International Conference of the Stress and Anxiety Research Society, Cracow, Poland, 12-14.</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Seibert, S. E., Crant, J. M., &amp; Kraimer, M. L. (1999). Proactive personality and career success. </w:t>
      </w:r>
      <w:r w:rsidRPr="008F500D">
        <w:rPr>
          <w:i/>
          <w:iCs/>
          <w:szCs w:val="20"/>
          <w:lang w:val="tr-TR"/>
        </w:rPr>
        <w:t>Journal of Applied Psychology</w:t>
      </w:r>
      <w:r w:rsidRPr="008F500D">
        <w:rPr>
          <w:szCs w:val="20"/>
          <w:lang w:val="tr-TR"/>
        </w:rPr>
        <w:t>,</w:t>
      </w:r>
      <w:r w:rsidRPr="008F500D">
        <w:rPr>
          <w:i/>
          <w:szCs w:val="20"/>
          <w:lang w:val="tr-TR"/>
        </w:rPr>
        <w:t xml:space="preserve"> 84</w:t>
      </w:r>
      <w:r w:rsidRPr="008F500D">
        <w:rPr>
          <w:szCs w:val="20"/>
          <w:lang w:val="tr-TR"/>
        </w:rPr>
        <w:t>(3), 416-427.</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Shulman, L. S. (1986). Those who understand: Knowledge growth in teaching. </w:t>
      </w:r>
      <w:r w:rsidRPr="008F500D">
        <w:rPr>
          <w:i/>
          <w:szCs w:val="20"/>
          <w:lang w:val="tr-TR"/>
        </w:rPr>
        <w:t>Educational Researcher, 15</w:t>
      </w:r>
      <w:r w:rsidRPr="008F500D">
        <w:rPr>
          <w:szCs w:val="20"/>
          <w:lang w:val="tr-TR"/>
        </w:rPr>
        <w:t>(2), 4-14.</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Smith, M. K. (2015). </w:t>
      </w:r>
      <w:r w:rsidRPr="008F500D">
        <w:rPr>
          <w:i/>
          <w:szCs w:val="20"/>
          <w:lang w:val="tr-TR"/>
        </w:rPr>
        <w:t>What is education? A definition and discussion</w:t>
      </w:r>
      <w:r w:rsidRPr="008F500D">
        <w:rPr>
          <w:szCs w:val="20"/>
          <w:lang w:val="tr-TR"/>
        </w:rPr>
        <w:t>. Retrieved from http://infed.org/mobi/what-is-education-a-definition-and-discussion/.</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Somech, A., &amp; Wenderow, M. (2006). The impact of participative and directive leadership on te- achers’ performance: The intervening effects of job structuring, decisions domain, and leader- member exchange. </w:t>
      </w:r>
      <w:r w:rsidRPr="008F500D">
        <w:rPr>
          <w:i/>
          <w:szCs w:val="20"/>
          <w:lang w:val="tr-TR"/>
        </w:rPr>
        <w:t>Educational Administration Quarterly, 42</w:t>
      </w:r>
      <w:r w:rsidRPr="008F500D">
        <w:rPr>
          <w:szCs w:val="20"/>
          <w:lang w:val="tr-TR"/>
        </w:rPr>
        <w:t>(5), 746-772.</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lastRenderedPageBreak/>
        <w:t xml:space="preserve">Şişman, M. &amp; Acat, B. (2003). Öğretmenlik uygulaması çalışmalarının öğretmenlik mesleğinin algılanmasındaki etkisi. </w:t>
      </w:r>
      <w:r w:rsidRPr="008F500D">
        <w:rPr>
          <w:i/>
          <w:szCs w:val="20"/>
          <w:lang w:val="tr-TR"/>
        </w:rPr>
        <w:t>Fırat University</w:t>
      </w:r>
      <w:r w:rsidRPr="008F500D">
        <w:rPr>
          <w:szCs w:val="20"/>
          <w:lang w:val="tr-TR"/>
        </w:rPr>
        <w:t xml:space="preserve"> </w:t>
      </w:r>
      <w:r w:rsidRPr="008F500D">
        <w:rPr>
          <w:i/>
          <w:iCs/>
          <w:szCs w:val="20"/>
          <w:lang w:val="tr-TR"/>
        </w:rPr>
        <w:t>Journal of International Social Sciences</w:t>
      </w:r>
      <w:r w:rsidRPr="008F500D">
        <w:rPr>
          <w:szCs w:val="20"/>
          <w:lang w:val="tr-TR"/>
        </w:rPr>
        <w:t xml:space="preserve">, </w:t>
      </w:r>
      <w:r w:rsidRPr="008F500D">
        <w:rPr>
          <w:i/>
          <w:szCs w:val="20"/>
          <w:lang w:val="tr-TR"/>
        </w:rPr>
        <w:t>13</w:t>
      </w:r>
      <w:r w:rsidRPr="008F500D">
        <w:rPr>
          <w:szCs w:val="20"/>
          <w:lang w:val="tr-TR"/>
        </w:rPr>
        <w:t>(1), 235-250.</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Thomas, T. A. (2014). </w:t>
      </w:r>
      <w:r w:rsidRPr="008F500D">
        <w:rPr>
          <w:i/>
          <w:szCs w:val="20"/>
          <w:lang w:val="tr-TR"/>
        </w:rPr>
        <w:t>Elementary teachers’ receptivity to integrated science, technology, engineering, and mathematics (STEM) education in the elementary grades</w:t>
      </w:r>
      <w:r w:rsidRPr="008F500D">
        <w:rPr>
          <w:szCs w:val="20"/>
          <w:lang w:val="tr-TR"/>
        </w:rPr>
        <w:t>. Retrieved from https://scholarworks.unr.edu/bitstream/handle/11714/2852/Thomas_unr_0139D_11492.pdf?sequence=1&amp;isAllowed=y.</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Tondeur, J., van Braak, J., Sang, G., Voogt, J., Fisser, P., &amp; Ottenbreit-Leftwich, A. (2012). Preparing preservice teachers to integrate technology in education: A synthesis of qualitative evidence. </w:t>
      </w:r>
      <w:r w:rsidRPr="008F500D">
        <w:rPr>
          <w:i/>
          <w:iCs/>
          <w:szCs w:val="20"/>
          <w:lang w:val="tr-TR"/>
        </w:rPr>
        <w:t>Computers &amp; Education</w:t>
      </w:r>
      <w:r w:rsidRPr="008F500D">
        <w:rPr>
          <w:szCs w:val="20"/>
          <w:lang w:val="tr-TR"/>
        </w:rPr>
        <w:t xml:space="preserve">, </w:t>
      </w:r>
      <w:r w:rsidRPr="008F500D">
        <w:rPr>
          <w:i/>
          <w:szCs w:val="20"/>
          <w:lang w:val="tr-TR"/>
        </w:rPr>
        <w:t>59</w:t>
      </w:r>
      <w:r w:rsidRPr="008F500D">
        <w:rPr>
          <w:szCs w:val="20"/>
          <w:lang w:val="tr-TR"/>
        </w:rPr>
        <w:t>(1), 134-144.</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Tondeur, J., van Braak, J., Siddiq, F., &amp; Scherer, R. (2016). Time for a new approach to prepare future teachers for educational technology use: Its meaning and measurement. </w:t>
      </w:r>
      <w:r w:rsidRPr="008F500D">
        <w:rPr>
          <w:i/>
          <w:szCs w:val="20"/>
          <w:lang w:val="tr-TR"/>
        </w:rPr>
        <w:t>Computers &amp; Education, 94</w:t>
      </w:r>
      <w:r w:rsidRPr="008F500D">
        <w:rPr>
          <w:szCs w:val="20"/>
          <w:lang w:val="tr-TR"/>
        </w:rPr>
        <w:t xml:space="preserve">, 134-150. </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Treffers, A. (1987). </w:t>
      </w:r>
      <w:r w:rsidRPr="008F500D">
        <w:rPr>
          <w:i/>
          <w:szCs w:val="20"/>
          <w:lang w:val="tr-TR"/>
        </w:rPr>
        <w:t>Three dimensions. A model of goal and theory description in mathematics instruction-The Wiskobas Project</w:t>
      </w:r>
      <w:r w:rsidRPr="008F500D">
        <w:rPr>
          <w:szCs w:val="20"/>
          <w:lang w:val="tr-TR"/>
        </w:rPr>
        <w:t>. Reidel Publishing Company, Dordrecht, The Netherlands.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Treffers, A. (1991). Didactical background of a mathematics programm for primary education. In L. Streefland (ed.), </w:t>
      </w:r>
      <w:r w:rsidRPr="008F500D">
        <w:rPr>
          <w:i/>
          <w:szCs w:val="20"/>
          <w:lang w:val="tr-TR"/>
        </w:rPr>
        <w:t>Realistic Mathematics Education in Primary School</w:t>
      </w:r>
      <w:r w:rsidRPr="008F500D">
        <w:rPr>
          <w:szCs w:val="20"/>
          <w:lang w:val="tr-TR"/>
        </w:rPr>
        <w:t xml:space="preserve"> (pp. 21-56), CD-ß Press / Freudenthal Institute, Utrecht University, Utrecht, The Netherlands.</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Trilling, B., &amp; Fadel, C. (2009). </w:t>
      </w:r>
      <w:r w:rsidRPr="008F500D">
        <w:rPr>
          <w:i/>
          <w:szCs w:val="20"/>
          <w:lang w:val="tr-TR"/>
        </w:rPr>
        <w:t>21st century skills: Learning for life in our times.</w:t>
      </w:r>
      <w:r w:rsidRPr="008F500D">
        <w:rPr>
          <w:szCs w:val="20"/>
          <w:lang w:val="tr-TR"/>
        </w:rPr>
        <w:t xml:space="preserve"> Francisco: Jossey-Bass.</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Uerz, D., Volman, M., &amp; Kral, M. (2018). Teacher educators’ competences in fostering student teachers’ proficiency in teaching and learning with technology: An overview of relevant research literature. </w:t>
      </w:r>
      <w:r w:rsidRPr="008F500D">
        <w:rPr>
          <w:i/>
          <w:iCs/>
          <w:szCs w:val="20"/>
          <w:lang w:val="tr-TR"/>
        </w:rPr>
        <w:t>Teaching and Teacher Education</w:t>
      </w:r>
      <w:r w:rsidRPr="008F500D">
        <w:rPr>
          <w:szCs w:val="20"/>
          <w:lang w:val="tr-TR"/>
        </w:rPr>
        <w:t xml:space="preserve">, </w:t>
      </w:r>
      <w:r w:rsidRPr="008F500D">
        <w:rPr>
          <w:i/>
          <w:szCs w:val="20"/>
          <w:lang w:val="tr-TR"/>
        </w:rPr>
        <w:t>70</w:t>
      </w:r>
      <w:r w:rsidRPr="008F500D">
        <w:rPr>
          <w:szCs w:val="20"/>
          <w:lang w:val="tr-TR"/>
        </w:rPr>
        <w:t xml:space="preserve">, 12-23.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Uluyol, Ç., &amp; Eryılmaz, S. (2015). 21. yüzyıl becerileri ışığında FATİH projesi değerlendirmesi. </w:t>
      </w:r>
      <w:r w:rsidRPr="008F500D">
        <w:rPr>
          <w:i/>
          <w:szCs w:val="20"/>
          <w:lang w:val="tr-TR"/>
        </w:rPr>
        <w:t xml:space="preserve">Gazi University </w:t>
      </w:r>
      <w:r w:rsidRPr="008F500D">
        <w:rPr>
          <w:i/>
          <w:iCs/>
          <w:szCs w:val="20"/>
          <w:lang w:val="tr-TR"/>
        </w:rPr>
        <w:t>Journal of Gazi Educational Faculty</w:t>
      </w:r>
      <w:r w:rsidRPr="008F500D">
        <w:rPr>
          <w:szCs w:val="20"/>
          <w:lang w:val="tr-TR"/>
        </w:rPr>
        <w:t>,</w:t>
      </w:r>
      <w:r w:rsidRPr="008F500D">
        <w:rPr>
          <w:i/>
          <w:szCs w:val="20"/>
          <w:lang w:val="tr-TR"/>
        </w:rPr>
        <w:t xml:space="preserve"> 35</w:t>
      </w:r>
      <w:r w:rsidRPr="008F500D">
        <w:rPr>
          <w:szCs w:val="20"/>
          <w:lang w:val="tr-TR"/>
        </w:rPr>
        <w:t>(2), 209-229.</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Uncuoğlu Yolcu, İ., &amp; Çamak, A. F. (2017). Proaktif kişilik ile proaktif çalışma davranışı ilişkisi üzerinde psikolojik güçlendirmenin etkisi. </w:t>
      </w:r>
      <w:r w:rsidRPr="008F500D">
        <w:rPr>
          <w:i/>
          <w:szCs w:val="20"/>
          <w:lang w:val="tr-TR"/>
        </w:rPr>
        <w:t>International Journal of Management Economics and Business, 13</w:t>
      </w:r>
      <w:r w:rsidRPr="008F500D">
        <w:rPr>
          <w:szCs w:val="20"/>
          <w:lang w:val="tr-TR"/>
        </w:rPr>
        <w:t>(2), 425-438.</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Van den Heuvel-Panhuizen, M., &amp; Drijvers, P. (2014). Realistic mathematics education. In S. Lerman (Ed.), </w:t>
      </w:r>
      <w:r w:rsidRPr="008F500D">
        <w:rPr>
          <w:i/>
          <w:szCs w:val="20"/>
          <w:lang w:val="tr-TR"/>
        </w:rPr>
        <w:t>Encyclopedia of Mathematics Education</w:t>
      </w:r>
      <w:r w:rsidRPr="008F500D">
        <w:rPr>
          <w:szCs w:val="20"/>
          <w:lang w:val="tr-TR"/>
        </w:rPr>
        <w:t xml:space="preserve"> (pp. 521-525). Netherlands: Springer.</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Wachira, P., &amp; Keengwe, J. (2011). Technology integration barriers: Urban school mathematics teachers perspectives. </w:t>
      </w:r>
      <w:r w:rsidRPr="008F500D">
        <w:rPr>
          <w:i/>
          <w:szCs w:val="20"/>
          <w:lang w:val="tr-TR"/>
        </w:rPr>
        <w:t>Journal of Science Education and Technology, 20</w:t>
      </w:r>
      <w:r w:rsidRPr="008F500D">
        <w:rPr>
          <w:szCs w:val="20"/>
          <w:lang w:val="tr-TR"/>
        </w:rPr>
        <w:t>(1), 17–25.</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Wagner, T. (2008). </w:t>
      </w:r>
      <w:r w:rsidRPr="008F500D">
        <w:rPr>
          <w:i/>
          <w:szCs w:val="20"/>
          <w:lang w:val="tr-TR"/>
        </w:rPr>
        <w:t>The global achievement gap: Why even our best schools don't teach the new survival skills our children need-and what we can do about it</w:t>
      </w:r>
      <w:r w:rsidRPr="008F500D">
        <w:rPr>
          <w:szCs w:val="20"/>
          <w:lang w:val="tr-TR"/>
        </w:rPr>
        <w:t>. New York: Basic Books.</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Webb, M., &amp; Cox, M. (2004). A review of pedagogy related to information and communications technology. </w:t>
      </w:r>
      <w:r w:rsidRPr="008F500D">
        <w:rPr>
          <w:i/>
          <w:szCs w:val="20"/>
          <w:lang w:val="tr-TR"/>
        </w:rPr>
        <w:t>Technology, Pedagogy and Education, 13</w:t>
      </w:r>
      <w:r w:rsidRPr="008F500D">
        <w:rPr>
          <w:szCs w:val="20"/>
          <w:lang w:val="tr-TR"/>
        </w:rPr>
        <w:t>(3), 235-286.</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Wolfinger, D. M. (2000). </w:t>
      </w:r>
      <w:r w:rsidRPr="008F500D">
        <w:rPr>
          <w:i/>
          <w:szCs w:val="20"/>
          <w:lang w:val="tr-TR"/>
        </w:rPr>
        <w:t>Science in the elementary and middle school</w:t>
      </w:r>
      <w:r w:rsidRPr="008F500D">
        <w:rPr>
          <w:szCs w:val="20"/>
          <w:lang w:val="tr-TR"/>
        </w:rPr>
        <w:t xml:space="preserve">. Longman, U.S. </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Yılmaz, K., &amp; Horzum, M. B. (2005). Küreselleşme, bilgi teknolojileri ve üniversite. </w:t>
      </w:r>
      <w:r w:rsidRPr="008F500D">
        <w:rPr>
          <w:i/>
          <w:szCs w:val="20"/>
          <w:lang w:val="tr-TR"/>
        </w:rPr>
        <w:t>İnönü Üniversitesi Eğitim Fakültesi Dergisi, 6</w:t>
      </w:r>
      <w:r w:rsidRPr="008F500D">
        <w:rPr>
          <w:szCs w:val="20"/>
          <w:lang w:val="tr-TR"/>
        </w:rPr>
        <w:t>(10), 103-121.</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 xml:space="preserve">Yigit, E. Ö. (2011). </w:t>
      </w:r>
      <w:r w:rsidRPr="008F500D">
        <w:rPr>
          <w:i/>
          <w:szCs w:val="20"/>
          <w:lang w:val="tr-TR"/>
        </w:rPr>
        <w:t>Sosyal bilgiler öğretmen adaylarının teknoloji okuryazarlığı düzeylerinin ve teknoloji ile bütünleştirilmiş sosyal bilgiler öğretimine yönelik görüşlerinin belirlenmesi</w:t>
      </w:r>
      <w:r w:rsidRPr="008F500D">
        <w:rPr>
          <w:szCs w:val="20"/>
          <w:lang w:val="tr-TR"/>
        </w:rPr>
        <w:t>. Unpublished Doctoral Dissertation, Marmara University, İstanbul, Turkey.</w:t>
      </w:r>
    </w:p>
    <w:p w:rsidR="00D536F0" w:rsidRPr="008F500D" w:rsidRDefault="00D536F0" w:rsidP="00A477E0">
      <w:pPr>
        <w:widowControl w:val="0"/>
        <w:tabs>
          <w:tab w:val="left" w:pos="426"/>
        </w:tabs>
        <w:autoSpaceDE w:val="0"/>
        <w:autoSpaceDN w:val="0"/>
        <w:adjustRightInd w:val="0"/>
        <w:spacing w:line="360" w:lineRule="auto"/>
        <w:ind w:left="567" w:hanging="567"/>
        <w:rPr>
          <w:szCs w:val="20"/>
          <w:lang w:val="tr-TR"/>
        </w:rPr>
      </w:pPr>
      <w:r w:rsidRPr="008F500D">
        <w:rPr>
          <w:szCs w:val="20"/>
          <w:lang w:val="tr-TR"/>
        </w:rPr>
        <w:t>Yucel, A. S., Kocak, C., &amp; Cula, S. (2010). An analysis on proactive-reactive personality profiles in student-</w:t>
      </w:r>
      <w:r w:rsidRPr="008F500D">
        <w:rPr>
          <w:szCs w:val="20"/>
          <w:lang w:val="tr-TR"/>
        </w:rPr>
        <w:lastRenderedPageBreak/>
        <w:t xml:space="preserve">teacher relationship through the metaphorical thinking approach. </w:t>
      </w:r>
      <w:r w:rsidRPr="008F500D">
        <w:rPr>
          <w:i/>
          <w:szCs w:val="20"/>
          <w:lang w:val="tr-TR"/>
        </w:rPr>
        <w:t>Eurasia Journal of Mathematics Science &amp; Technology Education, 6</w:t>
      </w:r>
      <w:r w:rsidRPr="008F500D">
        <w:rPr>
          <w:szCs w:val="20"/>
          <w:lang w:val="tr-TR"/>
        </w:rPr>
        <w:t>(2), 129-137.</w:t>
      </w:r>
    </w:p>
    <w:p w:rsidR="00D536F0" w:rsidRPr="008F500D" w:rsidRDefault="00D536F0" w:rsidP="00A477E0">
      <w:pPr>
        <w:tabs>
          <w:tab w:val="left" w:pos="426"/>
        </w:tabs>
        <w:spacing w:line="360" w:lineRule="auto"/>
        <w:ind w:left="567" w:hanging="567"/>
        <w:rPr>
          <w:szCs w:val="20"/>
          <w:lang w:val="tr-TR"/>
        </w:rPr>
      </w:pPr>
      <w:r w:rsidRPr="008F500D">
        <w:rPr>
          <w:szCs w:val="20"/>
          <w:lang w:val="tr-TR"/>
        </w:rPr>
        <w:t xml:space="preserve">Zahra, S. &amp; Covin, J. G. (1995). Contextual influences on the corporate entrepreneurship performance relationship: A longitudinal analysis. </w:t>
      </w:r>
      <w:r w:rsidRPr="008F500D">
        <w:rPr>
          <w:i/>
          <w:szCs w:val="20"/>
          <w:lang w:val="tr-TR"/>
        </w:rPr>
        <w:t>Journal of Business Venturing, 10,</w:t>
      </w:r>
      <w:r w:rsidRPr="008F500D">
        <w:rPr>
          <w:szCs w:val="20"/>
          <w:lang w:val="tr-TR"/>
        </w:rPr>
        <w:t xml:space="preserve"> 43-58.</w:t>
      </w:r>
    </w:p>
    <w:p w:rsidR="00176378" w:rsidRDefault="00D536F0" w:rsidP="00A477E0">
      <w:pPr>
        <w:widowControl w:val="0"/>
        <w:tabs>
          <w:tab w:val="left" w:pos="426"/>
        </w:tabs>
        <w:suppressAutoHyphens w:val="0"/>
        <w:spacing w:line="360" w:lineRule="auto"/>
        <w:ind w:left="567" w:hanging="567"/>
      </w:pPr>
      <w:r w:rsidRPr="008F500D">
        <w:rPr>
          <w:szCs w:val="20"/>
          <w:lang w:val="tr-TR"/>
        </w:rPr>
        <w:t xml:space="preserve">Zhao, F. (2005). Exploring the synergy between entrepreneurship and innovation. </w:t>
      </w:r>
      <w:r w:rsidRPr="008F500D">
        <w:rPr>
          <w:i/>
          <w:szCs w:val="20"/>
          <w:lang w:val="tr-TR"/>
        </w:rPr>
        <w:t>International Journal of</w:t>
      </w:r>
      <w:r>
        <w:rPr>
          <w:i/>
          <w:szCs w:val="20"/>
          <w:lang w:val="tr-TR"/>
        </w:rPr>
        <w:t xml:space="preserve"> </w:t>
      </w:r>
      <w:r w:rsidRPr="008F500D">
        <w:rPr>
          <w:i/>
          <w:szCs w:val="20"/>
          <w:lang w:val="tr-TR"/>
        </w:rPr>
        <w:t>Entrepreneurial Behavior &amp; Research, 11</w:t>
      </w:r>
      <w:r w:rsidRPr="008F500D">
        <w:rPr>
          <w:szCs w:val="20"/>
          <w:lang w:val="tr-TR"/>
        </w:rPr>
        <w:t>(1), 25-41.</w:t>
      </w:r>
    </w:p>
    <w:p w:rsidR="0061751E" w:rsidRDefault="0061751E"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rsidTr="00A477E0">
        <w:trPr>
          <w:jc w:val="center"/>
        </w:trPr>
        <w:tc>
          <w:tcPr>
            <w:tcW w:w="9005" w:type="dxa"/>
            <w:gridSpan w:val="2"/>
            <w:tcBorders>
              <w:top w:val="single" w:sz="4" w:space="0" w:color="auto"/>
              <w:bottom w:val="single" w:sz="4" w:space="0" w:color="auto"/>
            </w:tcBorders>
            <w:shd w:val="clear" w:color="auto" w:fill="auto"/>
          </w:tcPr>
          <w:p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rsidTr="00D536F0">
        <w:trPr>
          <w:jc w:val="center"/>
        </w:trPr>
        <w:tc>
          <w:tcPr>
            <w:tcW w:w="4503" w:type="dxa"/>
            <w:tcBorders>
              <w:top w:val="single" w:sz="4" w:space="0" w:color="auto"/>
            </w:tcBorders>
            <w:shd w:val="clear" w:color="auto" w:fill="auto"/>
          </w:tcPr>
          <w:p w:rsidR="0061751E" w:rsidRPr="00BE1FB0" w:rsidRDefault="004D2F35"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Yeliz Ozkan Hidiroglu</w:t>
            </w:r>
          </w:p>
          <w:p w:rsidR="0061751E" w:rsidRPr="00974916" w:rsidRDefault="0061751E" w:rsidP="004D2F35">
            <w:pPr>
              <w:widowControl w:val="0"/>
              <w:suppressAutoHyphens w:val="0"/>
              <w:spacing w:line="360" w:lineRule="auto"/>
              <w:jc w:val="left"/>
              <w:rPr>
                <w:rFonts w:eastAsia="Times New Roman" w:cs="Times New Roman"/>
                <w:szCs w:val="20"/>
                <w:lang w:val="tr-TR" w:eastAsia="tr-TR"/>
              </w:rPr>
            </w:pPr>
            <w:r w:rsidRPr="00974916">
              <w:rPr>
                <w:noProof/>
                <w:szCs w:val="20"/>
                <w:lang w:val="tr-TR" w:eastAsia="tr-TR"/>
              </w:rPr>
              <w:drawing>
                <wp:inline distT="0" distB="0" distL="0" distR="0" wp14:anchorId="7507CAB7" wp14:editId="46F8B761">
                  <wp:extent cx="142875" cy="142875"/>
                  <wp:effectExtent l="0" t="0" r="9525" b="9525"/>
                  <wp:docPr id="9" name="Resim 9"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w:t>
            </w:r>
            <w:r w:rsidR="004D2F35" w:rsidRPr="004D2F35">
              <w:rPr>
                <w:rFonts w:eastAsia="Times New Roman" w:cs="Times New Roman"/>
                <w:szCs w:val="20"/>
                <w:lang w:val="tr-TR" w:eastAsia="tr-TR"/>
              </w:rPr>
              <w:t>0000-0002-5176-1235</w:t>
            </w:r>
          </w:p>
          <w:p w:rsidR="004D2F35" w:rsidRPr="004D2F35" w:rsidRDefault="004D2F35" w:rsidP="004D2F35">
            <w:pPr>
              <w:widowControl w:val="0"/>
              <w:suppressAutoHyphens w:val="0"/>
              <w:spacing w:line="360" w:lineRule="auto"/>
              <w:jc w:val="left"/>
              <w:rPr>
                <w:rFonts w:eastAsia="Times New Roman" w:cs="Times New Roman"/>
                <w:szCs w:val="20"/>
                <w:lang w:eastAsia="tr-TR"/>
              </w:rPr>
            </w:pPr>
            <w:r w:rsidRPr="004D2F35">
              <w:rPr>
                <w:rFonts w:eastAsia="Times New Roman" w:cs="Times New Roman"/>
                <w:szCs w:val="20"/>
                <w:lang w:eastAsia="tr-TR"/>
              </w:rPr>
              <w:t>Ministry of National Education</w:t>
            </w:r>
          </w:p>
          <w:p w:rsidR="004D2F35" w:rsidRDefault="004D2F35" w:rsidP="004D2F35">
            <w:pPr>
              <w:widowControl w:val="0"/>
              <w:suppressAutoHyphens w:val="0"/>
              <w:spacing w:line="360" w:lineRule="auto"/>
              <w:jc w:val="left"/>
              <w:rPr>
                <w:rFonts w:eastAsia="Times New Roman" w:cs="Times New Roman"/>
                <w:szCs w:val="20"/>
                <w:lang w:eastAsia="tr-TR"/>
              </w:rPr>
            </w:pPr>
            <w:r w:rsidRPr="004D2F35">
              <w:rPr>
                <w:rFonts w:eastAsia="Times New Roman" w:cs="Times New Roman"/>
                <w:szCs w:val="20"/>
                <w:lang w:eastAsia="tr-TR"/>
              </w:rPr>
              <w:t>Turkey</w:t>
            </w:r>
          </w:p>
          <w:p w:rsidR="0061751E" w:rsidRPr="00BE1FB0" w:rsidRDefault="0061751E" w:rsidP="004D2F35">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8154FC" w:rsidRPr="008154FC">
              <w:rPr>
                <w:rFonts w:cs="Times New Roman"/>
                <w:i/>
                <w:szCs w:val="20"/>
              </w:rPr>
              <w:t>yelizozkan09@gmail.com</w:t>
            </w:r>
          </w:p>
        </w:tc>
        <w:tc>
          <w:tcPr>
            <w:tcW w:w="4502" w:type="dxa"/>
            <w:tcBorders>
              <w:top w:val="single" w:sz="4" w:space="0" w:color="auto"/>
            </w:tcBorders>
            <w:shd w:val="clear" w:color="auto" w:fill="auto"/>
          </w:tcPr>
          <w:p w:rsidR="0061751E" w:rsidRPr="00BE1FB0" w:rsidRDefault="004D2F35"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Caglar Naci Hidiroglu</w:t>
            </w:r>
          </w:p>
          <w:p w:rsidR="0061751E" w:rsidRPr="00974916" w:rsidRDefault="0061751E" w:rsidP="00176378">
            <w:pPr>
              <w:widowControl w:val="0"/>
              <w:suppressAutoHyphens w:val="0"/>
              <w:spacing w:line="360" w:lineRule="auto"/>
              <w:jc w:val="left"/>
              <w:rPr>
                <w:rFonts w:eastAsia="Times New Roman" w:cs="Times New Roman"/>
                <w:szCs w:val="20"/>
                <w:lang w:val="tr-TR" w:eastAsia="tr-TR"/>
              </w:rPr>
            </w:pPr>
            <w:r w:rsidRPr="00974916">
              <w:rPr>
                <w:noProof/>
                <w:szCs w:val="20"/>
                <w:lang w:val="tr-TR" w:eastAsia="tr-TR"/>
              </w:rPr>
              <w:drawing>
                <wp:inline distT="0" distB="0" distL="0" distR="0" wp14:anchorId="4E9FE977" wp14:editId="67CC6347">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004D2F35" w:rsidRPr="004D2F35">
              <w:rPr>
                <w:rFonts w:eastAsia="Times New Roman" w:cs="Times New Roman"/>
                <w:szCs w:val="20"/>
                <w:lang w:val="tr-TR" w:eastAsia="tr-TR"/>
              </w:rPr>
              <w:t>0000-0002-3774-4957</w:t>
            </w:r>
          </w:p>
          <w:p w:rsidR="004D2F35" w:rsidRDefault="004D2F35"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Pamukkale University</w:t>
            </w:r>
          </w:p>
          <w:p w:rsidR="0061751E" w:rsidRPr="00BE1FB0" w:rsidRDefault="004D2F35"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Turkey</w:t>
            </w:r>
            <w:r w:rsidR="0061751E" w:rsidRPr="00BE1FB0">
              <w:rPr>
                <w:rFonts w:eastAsia="Times New Roman" w:cs="Times New Roman"/>
                <w:szCs w:val="20"/>
                <w:lang w:eastAsia="tr-TR"/>
              </w:rPr>
              <w:t xml:space="preserve"> </w:t>
            </w:r>
          </w:p>
          <w:p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r w:rsidR="004D2F35">
              <w:rPr>
                <w:rFonts w:cs="Times New Roman"/>
                <w:i/>
                <w:szCs w:val="20"/>
              </w:rPr>
              <w:t>chidiroglu@pau.edu.tr</w:t>
            </w:r>
          </w:p>
        </w:tc>
      </w:tr>
      <w:tr w:rsidR="0061751E" w:rsidRPr="00BE1FB0" w:rsidTr="00A477E0">
        <w:trPr>
          <w:jc w:val="center"/>
        </w:trPr>
        <w:tc>
          <w:tcPr>
            <w:tcW w:w="4503" w:type="dxa"/>
            <w:tcBorders>
              <w:bottom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p>
          <w:p w:rsidR="0061751E" w:rsidRPr="00BE1FB0" w:rsidRDefault="004D2F35"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Abdurrahman Tanriogen</w:t>
            </w:r>
          </w:p>
          <w:p w:rsidR="0061751E" w:rsidRPr="00974916" w:rsidRDefault="0061751E" w:rsidP="00176378">
            <w:pPr>
              <w:widowControl w:val="0"/>
              <w:suppressAutoHyphens w:val="0"/>
              <w:spacing w:line="360" w:lineRule="auto"/>
              <w:jc w:val="left"/>
              <w:rPr>
                <w:rFonts w:eastAsia="Times New Roman" w:cs="Times New Roman"/>
                <w:szCs w:val="20"/>
                <w:lang w:val="tr-TR" w:eastAsia="tr-TR"/>
              </w:rPr>
            </w:pPr>
            <w:r w:rsidRPr="00974916">
              <w:rPr>
                <w:noProof/>
                <w:szCs w:val="20"/>
                <w:lang w:val="tr-TR" w:eastAsia="tr-TR"/>
              </w:rPr>
              <w:drawing>
                <wp:inline distT="0" distB="0" distL="0" distR="0" wp14:anchorId="27098DF6" wp14:editId="3497D0D0">
                  <wp:extent cx="142875" cy="142875"/>
                  <wp:effectExtent l="0" t="0" r="9525" b="9525"/>
                  <wp:docPr id="13" name="Resim 13"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004D2F35" w:rsidRPr="004D2F35">
              <w:rPr>
                <w:rFonts w:eastAsia="Times New Roman" w:cs="Times New Roman"/>
                <w:szCs w:val="20"/>
                <w:lang w:val="tr-TR" w:eastAsia="tr-TR"/>
              </w:rPr>
              <w:t>0000-0002-5491-3273</w:t>
            </w:r>
          </w:p>
          <w:p w:rsidR="004D2F35" w:rsidRDefault="004D2F35" w:rsidP="004D2F35">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Pamukkale University</w:t>
            </w:r>
          </w:p>
          <w:p w:rsidR="004D2F35" w:rsidRPr="00BE1FB0" w:rsidRDefault="004D2F35" w:rsidP="004D2F35">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Turkey</w:t>
            </w:r>
            <w:r w:rsidRPr="00BE1FB0">
              <w:rPr>
                <w:rFonts w:eastAsia="Times New Roman" w:cs="Times New Roman"/>
                <w:szCs w:val="20"/>
                <w:lang w:eastAsia="tr-TR"/>
              </w:rPr>
              <w:t xml:space="preserve"> </w:t>
            </w:r>
          </w:p>
          <w:p w:rsidR="00D27CED" w:rsidRPr="00BE1FB0" w:rsidRDefault="00D27CED"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4D2F35" w:rsidRPr="004D2F35">
              <w:rPr>
                <w:rFonts w:cs="Times New Roman"/>
                <w:i/>
                <w:szCs w:val="20"/>
              </w:rPr>
              <w:t>atogen@pau.edu.tr</w:t>
            </w:r>
          </w:p>
        </w:tc>
        <w:tc>
          <w:tcPr>
            <w:tcW w:w="4502" w:type="dxa"/>
            <w:tcBorders>
              <w:bottom w:val="single" w:sz="4" w:space="0" w:color="auto"/>
            </w:tcBorders>
            <w:shd w:val="clear" w:color="auto" w:fill="auto"/>
          </w:tcPr>
          <w:p w:rsidR="0061751E" w:rsidRPr="00BE1FB0" w:rsidRDefault="0061751E" w:rsidP="00176378">
            <w:pPr>
              <w:widowControl w:val="0"/>
              <w:suppressAutoHyphens w:val="0"/>
              <w:spacing w:line="360" w:lineRule="auto"/>
              <w:jc w:val="left"/>
              <w:rPr>
                <w:rFonts w:eastAsia="Times New Roman" w:cs="Times New Roman"/>
                <w:b/>
                <w:szCs w:val="20"/>
                <w:lang w:eastAsia="tr-TR"/>
              </w:rPr>
            </w:pPr>
          </w:p>
          <w:p w:rsidR="00D27CED" w:rsidRPr="00BE1FB0" w:rsidRDefault="00D27CED" w:rsidP="00176378">
            <w:pPr>
              <w:widowControl w:val="0"/>
              <w:suppressAutoHyphens w:val="0"/>
              <w:spacing w:line="360" w:lineRule="auto"/>
              <w:jc w:val="left"/>
              <w:rPr>
                <w:rFonts w:eastAsia="Times New Roman" w:cs="Times New Roman"/>
                <w:szCs w:val="20"/>
                <w:lang w:eastAsia="tr-TR"/>
              </w:rPr>
            </w:pPr>
          </w:p>
        </w:tc>
      </w:tr>
    </w:tbl>
    <w:p w:rsidR="00D536F0" w:rsidRDefault="00D536F0" w:rsidP="00176378">
      <w:pPr>
        <w:widowControl w:val="0"/>
        <w:suppressAutoHyphens w:val="0"/>
        <w:spacing w:line="360" w:lineRule="auto"/>
        <w:jc w:val="center"/>
      </w:pPr>
    </w:p>
    <w:sectPr w:rsidR="00D536F0" w:rsidSect="003F2EB8">
      <w:footerReference w:type="even" r:id="rId10"/>
      <w:footerReference w:type="default" r:id="rId11"/>
      <w:headerReference w:type="first" r:id="rId12"/>
      <w:footerReference w:type="first" r:id="rId13"/>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1E" w:rsidRDefault="0065101E" w:rsidP="00B53264">
      <w:r>
        <w:separator/>
      </w:r>
    </w:p>
  </w:endnote>
  <w:endnote w:type="continuationSeparator" w:id="0">
    <w:p w:rsidR="0065101E" w:rsidRDefault="0065101E"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46629"/>
      <w:docPartObj>
        <w:docPartGallery w:val="Page Numbers (Bottom of Page)"/>
        <w:docPartUnique/>
      </w:docPartObj>
    </w:sdtPr>
    <w:sdtEndPr>
      <w:rPr>
        <w:rFonts w:cs="Times New Roman"/>
        <w:szCs w:val="20"/>
      </w:rPr>
    </w:sdtEndPr>
    <w:sdtContent>
      <w:p w:rsidR="00D536F0" w:rsidRPr="004A2D3E" w:rsidRDefault="00D536F0"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D27CED">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108508"/>
      <w:docPartObj>
        <w:docPartGallery w:val="Page Numbers (Bottom of Page)"/>
        <w:docPartUnique/>
      </w:docPartObj>
    </w:sdtPr>
    <w:sdtEndPr>
      <w:rPr>
        <w:rFonts w:cs="Times New Roman"/>
        <w:szCs w:val="20"/>
      </w:rPr>
    </w:sdtEndPr>
    <w:sdtContent>
      <w:p w:rsidR="00D536F0" w:rsidRPr="004A2D3E" w:rsidRDefault="00D536F0"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D27CED">
          <w:rPr>
            <w:rFonts w:cs="Times New Roman"/>
            <w:noProof/>
            <w:szCs w:val="20"/>
            <w:lang w:val="tr-TR"/>
          </w:rPr>
          <w:t>3</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85585"/>
      <w:docPartObj>
        <w:docPartGallery w:val="Page Numbers (Bottom of Page)"/>
        <w:docPartUnique/>
      </w:docPartObj>
    </w:sdtPr>
    <w:sdtEndPr>
      <w:rPr>
        <w:rFonts w:cs="Times New Roman"/>
        <w:szCs w:val="20"/>
      </w:rPr>
    </w:sdtEndPr>
    <w:sdtContent>
      <w:p w:rsidR="00D536F0" w:rsidRPr="00200F83" w:rsidRDefault="00D536F0" w:rsidP="00D536F0">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Pr="00D27CED">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1E" w:rsidRDefault="0065101E" w:rsidP="00B53264">
      <w:r>
        <w:separator/>
      </w:r>
    </w:p>
  </w:footnote>
  <w:footnote w:type="continuationSeparator" w:id="0">
    <w:p w:rsidR="0065101E" w:rsidRDefault="0065101E"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F0" w:rsidRPr="003F2EB8" w:rsidRDefault="00D536F0" w:rsidP="003F2EB8">
    <w:pPr>
      <w:pStyle w:val="stBilgi"/>
      <w:jc w:val="center"/>
      <w:rPr>
        <w:color w:val="FF0000"/>
      </w:rPr>
    </w:pPr>
    <w:r w:rsidRPr="003F2EB8">
      <w:rPr>
        <w:b/>
        <w:color w:val="FF0000"/>
      </w:rPr>
      <w:t>Manuscript Review Version:</w:t>
    </w:r>
    <w:r w:rsidRPr="003F2EB8">
      <w:rPr>
        <w:color w:val="FF0000"/>
      </w:rPr>
      <w:t xml:space="preserve"> </w:t>
    </w:r>
    <w:r>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670F5"/>
    <w:rsid w:val="000747C1"/>
    <w:rsid w:val="00081E9E"/>
    <w:rsid w:val="00093199"/>
    <w:rsid w:val="000C4D2C"/>
    <w:rsid w:val="000D34A4"/>
    <w:rsid w:val="000E6AFE"/>
    <w:rsid w:val="00120DC1"/>
    <w:rsid w:val="001552C4"/>
    <w:rsid w:val="00166C12"/>
    <w:rsid w:val="00176378"/>
    <w:rsid w:val="00182E82"/>
    <w:rsid w:val="001905F6"/>
    <w:rsid w:val="00193B7B"/>
    <w:rsid w:val="001B6A76"/>
    <w:rsid w:val="001D7BCD"/>
    <w:rsid w:val="001F6755"/>
    <w:rsid w:val="00200F83"/>
    <w:rsid w:val="00211108"/>
    <w:rsid w:val="003604CB"/>
    <w:rsid w:val="00395629"/>
    <w:rsid w:val="003A543C"/>
    <w:rsid w:val="003F1413"/>
    <w:rsid w:val="003F2DD4"/>
    <w:rsid w:val="003F2EB8"/>
    <w:rsid w:val="004043DB"/>
    <w:rsid w:val="004052F4"/>
    <w:rsid w:val="00417A87"/>
    <w:rsid w:val="00441EC3"/>
    <w:rsid w:val="00447DA6"/>
    <w:rsid w:val="00450227"/>
    <w:rsid w:val="004535A7"/>
    <w:rsid w:val="00460DB5"/>
    <w:rsid w:val="00482994"/>
    <w:rsid w:val="00495181"/>
    <w:rsid w:val="004A2D3E"/>
    <w:rsid w:val="004A7B74"/>
    <w:rsid w:val="004B0316"/>
    <w:rsid w:val="004D2F35"/>
    <w:rsid w:val="004E6589"/>
    <w:rsid w:val="004E725E"/>
    <w:rsid w:val="004F0A1C"/>
    <w:rsid w:val="00555CA1"/>
    <w:rsid w:val="0056201F"/>
    <w:rsid w:val="00565123"/>
    <w:rsid w:val="005667F3"/>
    <w:rsid w:val="00573DFF"/>
    <w:rsid w:val="00584FEB"/>
    <w:rsid w:val="00594454"/>
    <w:rsid w:val="005A1152"/>
    <w:rsid w:val="005B5915"/>
    <w:rsid w:val="005C3033"/>
    <w:rsid w:val="005E20DE"/>
    <w:rsid w:val="005E45AA"/>
    <w:rsid w:val="005F42BA"/>
    <w:rsid w:val="0061751E"/>
    <w:rsid w:val="00634FB9"/>
    <w:rsid w:val="0065101E"/>
    <w:rsid w:val="006652C9"/>
    <w:rsid w:val="006B3068"/>
    <w:rsid w:val="006D1697"/>
    <w:rsid w:val="006F04B7"/>
    <w:rsid w:val="00703605"/>
    <w:rsid w:val="00723FB7"/>
    <w:rsid w:val="0076255F"/>
    <w:rsid w:val="007755B7"/>
    <w:rsid w:val="00776437"/>
    <w:rsid w:val="007A3028"/>
    <w:rsid w:val="007B0F9B"/>
    <w:rsid w:val="007B5319"/>
    <w:rsid w:val="007D7E88"/>
    <w:rsid w:val="0080448C"/>
    <w:rsid w:val="008154FC"/>
    <w:rsid w:val="00824680"/>
    <w:rsid w:val="00826913"/>
    <w:rsid w:val="00854A62"/>
    <w:rsid w:val="00856E66"/>
    <w:rsid w:val="008C6F26"/>
    <w:rsid w:val="008D0437"/>
    <w:rsid w:val="008D68E1"/>
    <w:rsid w:val="00903C4C"/>
    <w:rsid w:val="00971A0F"/>
    <w:rsid w:val="00990B96"/>
    <w:rsid w:val="009A294D"/>
    <w:rsid w:val="009F5356"/>
    <w:rsid w:val="00A477E0"/>
    <w:rsid w:val="00B0536F"/>
    <w:rsid w:val="00B378C9"/>
    <w:rsid w:val="00B46A48"/>
    <w:rsid w:val="00B53264"/>
    <w:rsid w:val="00B55656"/>
    <w:rsid w:val="00B607D5"/>
    <w:rsid w:val="00BB39AA"/>
    <w:rsid w:val="00BD0974"/>
    <w:rsid w:val="00BD3FC3"/>
    <w:rsid w:val="00C25111"/>
    <w:rsid w:val="00C4627A"/>
    <w:rsid w:val="00C46592"/>
    <w:rsid w:val="00C7299E"/>
    <w:rsid w:val="00C809BF"/>
    <w:rsid w:val="00C8135E"/>
    <w:rsid w:val="00CA69AA"/>
    <w:rsid w:val="00CD3266"/>
    <w:rsid w:val="00CD3E7A"/>
    <w:rsid w:val="00D11217"/>
    <w:rsid w:val="00D27CED"/>
    <w:rsid w:val="00D34C81"/>
    <w:rsid w:val="00D536F0"/>
    <w:rsid w:val="00D7219B"/>
    <w:rsid w:val="00D849D2"/>
    <w:rsid w:val="00DC05F6"/>
    <w:rsid w:val="00DE4F13"/>
    <w:rsid w:val="00E14E45"/>
    <w:rsid w:val="00E75C97"/>
    <w:rsid w:val="00EB4F66"/>
    <w:rsid w:val="00EC51AC"/>
    <w:rsid w:val="00EE1D32"/>
    <w:rsid w:val="00EE5907"/>
    <w:rsid w:val="00EF4342"/>
    <w:rsid w:val="00EF7963"/>
    <w:rsid w:val="00F207CE"/>
    <w:rsid w:val="00F3249D"/>
    <w:rsid w:val="00F32946"/>
    <w:rsid w:val="00F51233"/>
    <w:rsid w:val="00F70134"/>
    <w:rsid w:val="00F70642"/>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turkish/proactiv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dictionary.com/definition/proactiv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C56B-A6D4-44F8-8BAF-DF562B7F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11085</Words>
  <Characters>63186</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2021-03-31T11:48:00Z</dcterms:created>
  <dcterms:modified xsi:type="dcterms:W3CDTF">2021-03-31T12:26:00Z</dcterms:modified>
</cp:coreProperties>
</file>